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Montserrat;sans-serif" w:hAnsi="Montserrat;sans-serif"/>
          <w:b w:val="false"/>
          <w:color w:val="000000"/>
          <w:sz w:val="2"/>
        </w:rPr>
      </w:pPr>
      <w:r>
        <w:rPr>
          <w:rFonts w:ascii="Montserrat;sans-serif" w:hAnsi="Montserrat;sans-serif"/>
          <w:b w:val="false"/>
          <w:color w:val="000000"/>
          <w:sz w:val="2"/>
        </w:rPr>
        <w:t>7/6</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Open Sans;sans-serif" w:hAnsi="Open Sans;sans-serif"/>
          <w:b/>
          <w:color w:val="000000"/>
          <w:sz w:val="28"/>
        </w:rPr>
      </w:pPr>
      <w:r>
        <w:rPr>
          <w:rFonts w:ascii="Open Sans;sans-serif" w:hAnsi="Open Sans;sans-serif"/>
          <w:b/>
          <w:color w:val="000000"/>
          <w:sz w:val="28"/>
        </w:rPr>
        <w:t>UNITED STATES</w:t>
      </w:r>
    </w:p>
    <w:p>
      <w:pPr>
        <w:pStyle w:val="TextBody"/>
        <w:bidi w:val="0"/>
        <w:spacing w:lineRule="auto" w:line="288" w:before="0" w:after="0"/>
        <w:jc w:val="center"/>
        <w:rPr>
          <w:rFonts w:ascii="Open Sans;sans-serif" w:hAnsi="Open Sans;sans-serif"/>
          <w:b/>
          <w:color w:val="000000"/>
          <w:sz w:val="28"/>
        </w:rPr>
      </w:pPr>
      <w:r>
        <w:rPr>
          <w:rFonts w:ascii="Open Sans;sans-serif" w:hAnsi="Open Sans;sans-serif"/>
          <w:b/>
          <w:color w:val="000000"/>
          <w:sz w:val="28"/>
        </w:rPr>
        <w:t>SECURITIES AND EXCHANGE COMMISSION</w:t>
      </w:r>
    </w:p>
    <w:p>
      <w:pPr>
        <w:pStyle w:val="TextBody"/>
        <w:bidi w:val="0"/>
        <w:spacing w:lineRule="auto" w:line="288" w:before="0" w:after="240"/>
        <w:jc w:val="center"/>
        <w:rPr>
          <w:rFonts w:ascii="Open Sans;sans-serif" w:hAnsi="Open Sans;sans-serif"/>
          <w:b/>
          <w:color w:val="000000"/>
          <w:sz w:val="22"/>
        </w:rPr>
      </w:pPr>
      <w:r>
        <w:rPr>
          <w:rFonts w:ascii="Open Sans;sans-serif" w:hAnsi="Open Sans;sans-serif"/>
          <w:b/>
          <w:color w:val="000000"/>
          <w:sz w:val="22"/>
        </w:rPr>
        <w:t>Washington, D.C. 20549</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Open Sans;sans-serif" w:hAnsi="Open Sans;sans-serif"/>
          <w:b/>
          <w:color w:val="000000"/>
          <w:sz w:val="40"/>
        </w:rPr>
      </w:pPr>
      <w:r>
        <w:rPr>
          <w:rFonts w:ascii="Open Sans;sans-serif" w:hAnsi="Open Sans;sans-serif"/>
          <w:b/>
          <w:color w:val="000000"/>
          <w:sz w:val="40"/>
        </w:rPr>
        <w:t>FORM 10-Q</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Open Sans;sans-serif" w:hAnsi="Open Sans;sans-serif"/>
          <w:b/>
          <w:color w:val="000000"/>
          <w:sz w:val="18"/>
        </w:rPr>
      </w:pPr>
      <w:r>
        <w:rPr>
          <w:rFonts w:ascii="Open Sans;sans-serif" w:hAnsi="Open Sans;sans-serif"/>
          <w:b/>
          <w:color w:val="000000"/>
          <w:sz w:val="18"/>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20"/>
              </w:rPr>
            </w:pPr>
            <w:r>
              <w:rPr>
                <w:rFonts w:ascii="Open Sans;sans-serif" w:hAnsi="Open Sans;sans-serif"/>
                <w:b/>
                <w:color w:val="000000"/>
                <w:sz w:val="20"/>
              </w:rPr>
              <w:t>QUARTERLY REPORT PURSUANT TO SECTION 13 OR 15(d) OF THE SECURITIES EXCHANGE ACT OF 1934</w:t>
            </w:r>
          </w:p>
        </w:tc>
      </w:tr>
    </w:tbl>
    <w:p>
      <w:pPr>
        <w:pStyle w:val="TextBody"/>
        <w:bidi w:val="0"/>
        <w:spacing w:lineRule="auto" w:line="288" w:before="120" w:after="283"/>
        <w:jc w:val="center"/>
        <w:rPr>
          <w:rFonts w:ascii="Open Sans;sans-serif" w:hAnsi="Open Sans;sans-serif"/>
          <w:b/>
          <w:color w:val="000000"/>
          <w:sz w:val="20"/>
        </w:rPr>
      </w:pPr>
      <w:r>
        <w:rPr>
          <w:rFonts w:ascii="Open Sans;sans-serif" w:hAnsi="Open Sans;sans-serif"/>
          <w:b/>
          <w:color w:val="000000"/>
          <w:sz w:val="20"/>
        </w:rPr>
        <w:t>For the quarterly period ended March 31, 2026</w:t>
      </w:r>
    </w:p>
    <w:p>
      <w:pPr>
        <w:pStyle w:val="TextBody"/>
        <w:bidi w:val="0"/>
        <w:spacing w:lineRule="auto" w:line="288" w:before="120" w:after="60"/>
        <w:jc w:val="center"/>
        <w:rPr>
          <w:rFonts w:ascii="Open Sans;sans-serif" w:hAnsi="Open Sans;sans-serif"/>
          <w:b/>
          <w:color w:val="000000"/>
          <w:sz w:val="20"/>
        </w:rPr>
      </w:pPr>
      <w:r>
        <w:rPr>
          <w:rFonts w:ascii="Open Sans;sans-serif" w:hAnsi="Open Sans;sans-serif"/>
          <w:b/>
          <w:color w:val="000000"/>
          <w:sz w:val="20"/>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20"/>
              </w:rPr>
            </w:pPr>
            <w:r>
              <w:rPr>
                <w:rFonts w:ascii="Open Sans;sans-serif" w:hAnsi="Open Sans;sans-serif"/>
                <w:b/>
                <w:color w:val="000000"/>
                <w:sz w:val="20"/>
              </w:rPr>
              <w:t>TRANSITION REPORT PURSUANT TO SECTION 13 OR 15(d) OF THE SECURITIES EXCHANGE ACT OF 1934</w:t>
            </w:r>
          </w:p>
        </w:tc>
      </w:tr>
    </w:tbl>
    <w:p>
      <w:pPr>
        <w:pStyle w:val="TextBody"/>
        <w:bidi w:val="0"/>
        <w:spacing w:lineRule="auto" w:line="288" w:before="0" w:after="120"/>
        <w:jc w:val="center"/>
        <w:rPr>
          <w:rFonts w:ascii="Open Sans;sans-serif" w:hAnsi="Open Sans;sans-serif"/>
          <w:b/>
          <w:color w:val="000000"/>
          <w:sz w:val="20"/>
        </w:rPr>
      </w:pPr>
      <w:r>
        <w:rPr>
          <w:rFonts w:ascii="Open Sans;sans-serif" w:hAnsi="Open Sans;sans-serif"/>
          <w:b/>
          <w:color w:val="000000"/>
          <w:sz w:val="20"/>
        </w:rPr>
        <w:t>For the transition period from __________ to __________</w:t>
      </w:r>
    </w:p>
    <w:p>
      <w:pPr>
        <w:pStyle w:val="TextBody"/>
        <w:bidi w:val="0"/>
        <w:spacing w:lineRule="auto" w:line="288" w:before="0" w:after="120"/>
        <w:jc w:val="center"/>
        <w:rPr>
          <w:rFonts w:ascii="Open Sans;sans-serif" w:hAnsi="Open Sans;sans-serif"/>
          <w:b/>
          <w:color w:val="000000"/>
          <w:sz w:val="20"/>
        </w:rPr>
      </w:pPr>
      <w:r>
        <w:rPr>
          <w:rFonts w:ascii="Open Sans;sans-serif" w:hAnsi="Open Sans;sans-serif"/>
          <w:b/>
          <w:color w:val="000000"/>
          <w:sz w:val="20"/>
        </w:rPr>
        <w:t>Commission File Number: 001-40465</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Open Sans;sans-serif" w:hAnsi="Open Sans;sans-serif"/>
          <w:b/>
          <w:color w:val="000000"/>
          <w:sz w:val="40"/>
        </w:rPr>
      </w:pPr>
      <w:r>
        <w:rPr>
          <w:rFonts w:ascii="Open Sans;sans-serif" w:hAnsi="Open Sans;sans-serif"/>
          <w:b/>
          <w:color w:val="000000"/>
          <w:sz w:val="40"/>
        </w:rPr>
        <w:t>Marqeta, Inc.</w:t>
      </w:r>
    </w:p>
    <w:p>
      <w:pPr>
        <w:pStyle w:val="TextBody"/>
        <w:bidi w:val="0"/>
        <w:spacing w:lineRule="auto" w:line="288" w:before="60" w:after="60"/>
        <w:jc w:val="center"/>
        <w:rPr>
          <w:rFonts w:ascii="Open Sans;sans-serif" w:hAnsi="Open Sans;sans-serif"/>
          <w:b w:val="false"/>
          <w:color w:val="000000"/>
          <w:sz w:val="20"/>
        </w:rPr>
      </w:pPr>
      <w:r>
        <w:rPr>
          <w:rFonts w:ascii="Open Sans;sans-serif" w:hAnsi="Open Sans;sans-serif"/>
          <w:b w:val="false"/>
          <w:color w:val="000000"/>
          <w:sz w:val="20"/>
        </w:rPr>
        <w:t>(Exact name of registrant as specified in its charter)</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8910" w:type="dxa"/>
        <w:jc w:val="center"/>
        <w:tblInd w:w="0" w:type="dxa"/>
        <w:tblLayout w:type="fixed"/>
        <w:tblCellMar>
          <w:top w:w="28" w:type="dxa"/>
          <w:left w:w="28" w:type="dxa"/>
          <w:bottom w:w="28" w:type="dxa"/>
          <w:right w:w="28" w:type="dxa"/>
        </w:tblCellMar>
      </w:tblPr>
      <w:tblGrid>
        <w:gridCol w:w="2004"/>
        <w:gridCol w:w="1758"/>
        <w:gridCol w:w="1773"/>
        <w:gridCol w:w="989"/>
        <w:gridCol w:w="989"/>
        <w:gridCol w:w="1397"/>
      </w:tblGrid>
      <w:tr>
        <w:trPr/>
        <w:tc>
          <w:tcPr>
            <w:tcW w:w="2004" w:type="dxa"/>
            <w:tcBorders/>
            <w:vAlign w:val="center"/>
          </w:tcPr>
          <w:p>
            <w:pPr>
              <w:pStyle w:val="TableContents"/>
              <w:bidi w:val="0"/>
              <w:spacing w:before="0" w:after="283"/>
              <w:jc w:val="left"/>
              <w:rPr>
                <w:sz w:val="4"/>
                <w:szCs w:val="4"/>
              </w:rPr>
            </w:pPr>
            <w:r>
              <w:rPr>
                <w:sz w:val="4"/>
                <w:szCs w:val="4"/>
              </w:rPr>
            </w:r>
          </w:p>
        </w:tc>
        <w:tc>
          <w:tcPr>
            <w:tcW w:w="1758"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r>
      <w:tr>
        <w:trPr/>
        <w:tc>
          <w:tcPr>
            <w:tcW w:w="55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20"/>
              </w:rPr>
            </w:pPr>
            <w:r>
              <w:rPr>
                <w:rFonts w:ascii="Open Sans;sans-serif" w:hAnsi="Open Sans;sans-serif"/>
                <w:b/>
                <w:color w:val="000000"/>
                <w:sz w:val="20"/>
              </w:rPr>
              <w:t>Delaware</w:t>
            </w:r>
          </w:p>
        </w:tc>
        <w:tc>
          <w:tcPr>
            <w:tcW w:w="33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20"/>
              </w:rPr>
            </w:pPr>
            <w:r>
              <w:rPr>
                <w:rFonts w:ascii="Open Sans;sans-serif" w:hAnsi="Open Sans;sans-serif"/>
                <w:b/>
                <w:color w:val="000000"/>
                <w:sz w:val="20"/>
              </w:rPr>
              <w:t>27-4306690</w:t>
            </w:r>
          </w:p>
        </w:tc>
      </w:tr>
      <w:tr>
        <w:trPr/>
        <w:tc>
          <w:tcPr>
            <w:tcW w:w="55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6"/>
              </w:rPr>
            </w:pPr>
            <w:r>
              <w:rPr>
                <w:rFonts w:ascii="Open Sans;sans-serif" w:hAnsi="Open Sans;sans-serif"/>
                <w:b w:val="false"/>
                <w:color w:val="000000"/>
                <w:sz w:val="16"/>
              </w:rPr>
              <w:t>(State or other jurisdiction of incorporation or organization)</w:t>
            </w:r>
          </w:p>
        </w:tc>
        <w:tc>
          <w:tcPr>
            <w:tcW w:w="33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6"/>
              </w:rPr>
            </w:pPr>
            <w:r>
              <w:rPr>
                <w:rFonts w:ascii="Open Sans;sans-serif" w:hAnsi="Open Sans;sans-serif"/>
                <w:b w:val="false"/>
                <w:color w:val="000000"/>
                <w:sz w:val="16"/>
              </w:rPr>
              <w:t>(I.R.S. Employer Identification Number)</w:t>
            </w:r>
          </w:p>
        </w:tc>
      </w:tr>
      <w:tr>
        <w:trPr/>
        <w:tc>
          <w:tcPr>
            <w:tcW w:w="5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Open Sans;sans-serif" w:hAnsi="Open Sans;sans-serif"/>
                <w:b/>
                <w:color w:val="000000"/>
                <w:sz w:val="20"/>
              </w:rPr>
            </w:pPr>
            <w:r>
              <w:rPr>
                <w:rFonts w:ascii="Open Sans;sans-serif" w:hAnsi="Open Sans;sans-serif"/>
                <w:b/>
                <w:color w:val="000000"/>
                <w:sz w:val="20"/>
              </w:rPr>
              <w:t>180 Grand Avenue, 6th Floor, Oakland, California</w:t>
            </w:r>
          </w:p>
        </w:tc>
        <w:tc>
          <w:tcPr>
            <w:tcW w:w="33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20"/>
              </w:rPr>
            </w:pPr>
            <w:r>
              <w:rPr>
                <w:rFonts w:ascii="Open Sans;sans-serif" w:hAnsi="Open Sans;sans-serif"/>
                <w:b/>
                <w:color w:val="000000"/>
                <w:sz w:val="20"/>
              </w:rPr>
              <w:t>94612</w:t>
            </w:r>
          </w:p>
        </w:tc>
      </w:tr>
      <w:tr>
        <w:trPr/>
        <w:tc>
          <w:tcPr>
            <w:tcW w:w="55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6"/>
              </w:rPr>
            </w:pPr>
            <w:r>
              <w:rPr>
                <w:rFonts w:ascii="Open Sans;sans-serif" w:hAnsi="Open Sans;sans-serif"/>
                <w:b w:val="false"/>
                <w:color w:val="000000"/>
                <w:sz w:val="16"/>
              </w:rPr>
              <w:t>(Address of principal executive offices)</w:t>
            </w:r>
          </w:p>
        </w:tc>
        <w:tc>
          <w:tcPr>
            <w:tcW w:w="33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6"/>
              </w:rPr>
            </w:pPr>
            <w:r>
              <w:rPr>
                <w:rFonts w:ascii="Open Sans;sans-serif" w:hAnsi="Open Sans;sans-serif"/>
                <w:b w:val="false"/>
                <w:color w:val="000000"/>
                <w:sz w:val="16"/>
              </w:rPr>
              <w:t>(Zip Code)</w:t>
            </w:r>
          </w:p>
        </w:tc>
      </w:tr>
    </w:tbl>
    <w:p>
      <w:pPr>
        <w:pStyle w:val="TextBody"/>
        <w:bidi w:val="0"/>
        <w:spacing w:before="0" w:after="0"/>
        <w:jc w:val="center"/>
        <w:rPr/>
      </w:pPr>
      <w:r>
        <w:rPr/>
      </w:r>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(510) 671-5437</w:t>
      </w:r>
    </w:p>
    <w:p>
      <w:pPr>
        <w:pStyle w:val="TextBody"/>
        <w:bidi w:val="0"/>
        <w:spacing w:lineRule="auto" w:line="288" w:before="0" w:after="0"/>
        <w:jc w:val="center"/>
        <w:rPr>
          <w:rFonts w:ascii="Open Sans;sans-serif" w:hAnsi="Open Sans;sans-serif"/>
          <w:b w:val="false"/>
          <w:color w:val="000000"/>
          <w:sz w:val="16"/>
        </w:rPr>
      </w:pPr>
      <w:r>
        <w:rPr>
          <w:rFonts w:ascii="Open Sans;sans-serif" w:hAnsi="Open Sans;sans-serif"/>
          <w:b w:val="false"/>
          <w:color w:val="000000"/>
          <w:sz w:val="16"/>
        </w:rPr>
        <w:t>(Registrant's telephone number, including area code)</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center"/>
        <w:rPr>
          <w:rFonts w:ascii="Open Sans;sans-serif" w:hAnsi="Open Sans;sans-serif"/>
          <w:b w:val="false"/>
          <w:color w:val="000000"/>
          <w:sz w:val="16"/>
        </w:rPr>
      </w:pPr>
      <w:r>
        <w:rPr>
          <w:rFonts w:ascii="Open Sans;sans-serif" w:hAnsi="Open Sans;sans-serif"/>
          <w:b w:val="false"/>
          <w:color w:val="000000"/>
          <w:sz w:val="16"/>
        </w:rPr>
        <w:t>Securities registered pursuant to Section 12(b) of the Act:</w:t>
      </w:r>
    </w:p>
    <w:tbl>
      <w:tblPr>
        <w:tblW w:w="10205" w:type="dxa"/>
        <w:jc w:val="center"/>
        <w:tblInd w:w="0" w:type="dxa"/>
        <w:tblLayout w:type="fixed"/>
        <w:tblCellMar>
          <w:top w:w="28" w:type="dxa"/>
          <w:left w:w="28" w:type="dxa"/>
          <w:bottom w:w="28" w:type="dxa"/>
          <w:right w:w="28" w:type="dxa"/>
        </w:tblCellMar>
      </w:tblPr>
      <w:tblGrid>
        <w:gridCol w:w="1655"/>
        <w:gridCol w:w="1413"/>
        <w:gridCol w:w="1422"/>
        <w:gridCol w:w="109"/>
        <w:gridCol w:w="109"/>
        <w:gridCol w:w="109"/>
        <w:gridCol w:w="510"/>
        <w:gridCol w:w="510"/>
        <w:gridCol w:w="512"/>
        <w:gridCol w:w="109"/>
        <w:gridCol w:w="109"/>
        <w:gridCol w:w="109"/>
        <w:gridCol w:w="1032"/>
        <w:gridCol w:w="1032"/>
        <w:gridCol w:w="1465"/>
      </w:tblGrid>
      <w:tr>
        <w:trPr/>
        <w:tc>
          <w:tcPr>
            <w:tcW w:w="1655"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465" w:type="dxa"/>
            <w:tcBorders/>
            <w:vAlign w:val="center"/>
          </w:tcPr>
          <w:p>
            <w:pPr>
              <w:pStyle w:val="TableContents"/>
              <w:bidi w:val="0"/>
              <w:spacing w:before="0" w:after="283"/>
              <w:jc w:val="left"/>
              <w:rPr>
                <w:sz w:val="4"/>
                <w:szCs w:val="4"/>
              </w:rPr>
            </w:pPr>
            <w:r>
              <w:rPr>
                <w:sz w:val="4"/>
                <w:szCs w:val="4"/>
              </w:rPr>
            </w:r>
          </w:p>
        </w:tc>
      </w:tr>
      <w:tr>
        <w:trPr/>
        <w:tc>
          <w:tcPr>
            <w:tcW w:w="44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6"/>
              </w:rPr>
            </w:pPr>
            <w:r>
              <w:rPr>
                <w:rFonts w:ascii="Open Sans;sans-serif" w:hAnsi="Open Sans;sans-serif"/>
                <w:b w:val="false"/>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6"/>
              </w:rPr>
            </w:pPr>
            <w:r>
              <w:rPr>
                <w:rFonts w:ascii="Open Sans;sans-serif" w:hAnsi="Open Sans;sans-serif"/>
                <w:b w:val="false"/>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6"/>
              </w:rPr>
            </w:pPr>
            <w:r>
              <w:rPr>
                <w:rFonts w:ascii="Open Sans;sans-serif" w:hAnsi="Open Sans;sans-serif"/>
                <w:b w:val="false"/>
                <w:color w:val="000000"/>
                <w:sz w:val="16"/>
              </w:rPr>
              <w:t>Name of each exchange on which registered</w:t>
            </w:r>
          </w:p>
        </w:tc>
      </w:tr>
      <w:tr>
        <w:trPr/>
        <w:tc>
          <w:tcPr>
            <w:tcW w:w="449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Class A common stock, $0.0001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MQ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Open Sans;sans-serif" w:hAnsi="Open Sans;sans-serif"/>
                <w:b/>
                <w:color w:val="000000"/>
                <w:sz w:val="16"/>
              </w:rPr>
            </w:pPr>
            <w:r>
              <w:rPr>
                <w:rFonts w:ascii="Open Sans;sans-serif" w:hAnsi="Open Sans;sans-serif"/>
                <w:b/>
                <w:color w:val="000000"/>
                <w:sz w:val="16"/>
              </w:rPr>
              <w:t>The Nasdaq Stock Market LLC</w:t>
            </w:r>
          </w:p>
        </w:tc>
      </w:tr>
      <w:tr>
        <w:trPr/>
        <w:tc>
          <w:tcPr>
            <w:tcW w:w="4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(Nasdaq Global Select Market)</w:t>
            </w:r>
          </w:p>
        </w:tc>
      </w:tr>
    </w:tbl>
    <w:p>
      <w:pPr>
        <w:pStyle w:val="TextBody"/>
        <w:bidi w:val="0"/>
        <w:spacing w:lineRule="auto" w:line="288" w:before="120" w:after="283"/>
        <w:jc w:val="both"/>
        <w:rPr>
          <w:rFonts w:ascii="Open Sans;sans-serif" w:hAnsi="Open Sans;sans-serif"/>
          <w:b w:val="false"/>
          <w:color w:val="000000"/>
          <w:sz w:val="16"/>
        </w:rPr>
      </w:pPr>
      <w:r>
        <w:rPr>
          <w:rFonts w:ascii="Open Sans;sans-serif" w:hAnsi="Open Sans;sans-serif"/>
          <w:b w:val="false"/>
          <w:color w:val="000000"/>
          <w:sz w:val="16"/>
        </w:rPr>
        <w:t>Indicate by check mark whether the registrant (1) has filed all reports required to be filed by Section 13 or 15(d) of the Securities Exchange Act of 1934 (the “Exchange Act”) during the preceding 12 months (or for such shorter period that the registrant was required to file such reports), and (2) has been subject to such filing requirements for the past 90 days. Yes ☒ No ☐</w:t>
      </w:r>
    </w:p>
    <w:p>
      <w:pPr>
        <w:pStyle w:val="TextBody"/>
        <w:bidi w:val="0"/>
        <w:spacing w:lineRule="auto" w:line="288" w:before="60" w:after="283"/>
        <w:jc w:val="both"/>
        <w:rPr>
          <w:rFonts w:ascii="Open Sans;sans-serif" w:hAnsi="Open Sans;sans-serif"/>
          <w:b w:val="false"/>
          <w:color w:val="000000"/>
          <w:sz w:val="16"/>
        </w:rPr>
      </w:pPr>
      <w:r>
        <w:rPr>
          <w:rFonts w:ascii="Open Sans;sans-serif" w:hAnsi="Open Sans;sans-serif"/>
          <w:b w:val="false"/>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lineRule="auto" w:line="288" w:before="60" w:after="120"/>
        <w:jc w:val="both"/>
        <w:rPr>
          <w:rFonts w:ascii="Open Sans;sans-serif" w:hAnsi="Open Sans;sans-serif"/>
          <w:b w:val="false"/>
          <w:color w:val="000000"/>
          <w:sz w:val="16"/>
        </w:rPr>
      </w:pPr>
      <w:r>
        <w:rPr>
          <w:rFonts w:ascii="Open Sans;sans-serif" w:hAnsi="Open Sans;sans-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435" w:type="dxa"/>
        <w:jc w:val="left"/>
        <w:tblInd w:w="0" w:type="dxa"/>
        <w:tblLayout w:type="fixed"/>
        <w:tblCellMar>
          <w:top w:w="28" w:type="dxa"/>
          <w:left w:w="28" w:type="dxa"/>
          <w:bottom w:w="28" w:type="dxa"/>
          <w:right w:w="28" w:type="dxa"/>
        </w:tblCellMar>
      </w:tblPr>
      <w:tblGrid>
        <w:gridCol w:w="727"/>
        <w:gridCol w:w="640"/>
        <w:gridCol w:w="642"/>
        <w:gridCol w:w="109"/>
        <w:gridCol w:w="109"/>
        <w:gridCol w:w="109"/>
        <w:gridCol w:w="109"/>
        <w:gridCol w:w="109"/>
        <w:gridCol w:w="109"/>
        <w:gridCol w:w="799"/>
        <w:gridCol w:w="799"/>
        <w:gridCol w:w="802"/>
        <w:gridCol w:w="109"/>
        <w:gridCol w:w="109"/>
        <w:gridCol w:w="154"/>
      </w:tblGrid>
      <w:tr>
        <w:trPr/>
        <w:tc>
          <w:tcPr>
            <w:tcW w:w="727"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120" w:after="283"/>
        <w:jc w:val="left"/>
        <w:rPr>
          <w:rFonts w:ascii="Open Sans;sans-serif" w:hAnsi="Open Sans;sans-serif"/>
          <w:b w:val="false"/>
          <w:color w:val="000000"/>
          <w:sz w:val="16"/>
        </w:rPr>
      </w:pPr>
      <w:r>
        <w:rPr>
          <w:rFonts w:ascii="Open Sans;sans-serif" w:hAnsi="Open Sans;sans-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180" w:after="283"/>
        <w:jc w:val="left"/>
        <w:rPr>
          <w:rFonts w:ascii="Open Sans;sans-serif" w:hAnsi="Open Sans;sans-serif"/>
          <w:b w:val="false"/>
          <w:color w:val="000000"/>
          <w:sz w:val="16"/>
        </w:rPr>
      </w:pPr>
      <w:r>
        <w:rPr>
          <w:rFonts w:ascii="Open Sans;sans-serif" w:hAnsi="Open Sans;sans-serif"/>
          <w:b w:val="false"/>
          <w:color w:val="000000"/>
          <w:sz w:val="16"/>
        </w:rPr>
        <w:t>Indicate by check mark whether the registrant is a shell company (as defined in Rule 12b-2 of the Exchange Act). Yes ☐ No ☒</w:t>
      </w:r>
    </w:p>
    <w:p>
      <w:pPr>
        <w:pStyle w:val="TextBody"/>
        <w:bidi w:val="0"/>
        <w:spacing w:lineRule="auto" w:line="288" w:before="180" w:after="120"/>
        <w:jc w:val="both"/>
        <w:rPr>
          <w:rFonts w:ascii="Open Sans;sans-serif" w:hAnsi="Open Sans;sans-serif"/>
          <w:b w:val="false"/>
          <w:color w:val="000000"/>
          <w:sz w:val="16"/>
        </w:rPr>
      </w:pPr>
      <w:r>
        <w:rPr>
          <w:rFonts w:ascii="Open Sans;sans-serif" w:hAnsi="Open Sans;sans-serif"/>
          <w:b w:val="false"/>
          <w:color w:val="000000"/>
          <w:sz w:val="16"/>
        </w:rPr>
        <w:t>As of April 30, 2026, there were 391,222,103 shares of the registrant's Class A common stock, par value $0.0001 per share, outstanding and 32,808,210 shares of the registrant's Class B common stock, par value $0.0001 per share, outstanding.</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
        <w:jc w:val="center"/>
        <w:rPr>
          <w:rFonts w:ascii="Open Sans;sans-serif" w:hAnsi="Open Sans;sans-serif"/>
          <w:b/>
          <w:color w:val="000000"/>
          <w:sz w:val="20"/>
        </w:rPr>
      </w:pPr>
      <w:r>
        <w:rPr>
          <w:rFonts w:ascii="Open Sans;sans-serif" w:hAnsi="Open Sans;sans-serif"/>
          <w:b/>
          <w:color w:val="000000"/>
          <w:sz w:val="20"/>
        </w:rPr>
        <w:t>TABLE OF CONTENTS</w:t>
      </w:r>
    </w:p>
    <w:p>
      <w:pPr>
        <w:pStyle w:val="TextBody"/>
        <w:bidi w:val="0"/>
        <w:spacing w:before="0" w:after="2"/>
        <w:jc w:val="center"/>
        <w:rPr/>
      </w:pPr>
      <w:r>
        <w:rPr/>
      </w:r>
    </w:p>
    <w:tbl>
      <w:tblPr>
        <w:tblW w:w="10205" w:type="dxa"/>
        <w:jc w:val="left"/>
        <w:tblInd w:w="0" w:type="dxa"/>
        <w:tblLayout w:type="fixed"/>
        <w:tblCellMar>
          <w:top w:w="28" w:type="dxa"/>
          <w:left w:w="28" w:type="dxa"/>
          <w:bottom w:w="28" w:type="dxa"/>
          <w:right w:w="28" w:type="dxa"/>
        </w:tblCellMar>
      </w:tblPr>
      <w:tblGrid>
        <w:gridCol w:w="686"/>
        <w:gridCol w:w="603"/>
        <w:gridCol w:w="603"/>
        <w:gridCol w:w="2580"/>
        <w:gridCol w:w="2508"/>
        <w:gridCol w:w="2516"/>
        <w:gridCol w:w="206"/>
        <w:gridCol w:w="206"/>
        <w:gridCol w:w="297"/>
      </w:tblGrid>
      <w:tr>
        <w:trPr/>
        <w:tc>
          <w:tcPr>
            <w:tcW w:w="686"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2580" w:type="dxa"/>
            <w:tcBorders/>
            <w:vAlign w:val="center"/>
          </w:tcPr>
          <w:p>
            <w:pPr>
              <w:pStyle w:val="TableContents"/>
              <w:bidi w:val="0"/>
              <w:spacing w:before="0" w:after="283"/>
              <w:jc w:val="left"/>
              <w:rPr>
                <w:sz w:val="4"/>
                <w:szCs w:val="4"/>
              </w:rPr>
            </w:pPr>
            <w:r>
              <w:rPr>
                <w:sz w:val="4"/>
                <w:szCs w:val="4"/>
              </w:rPr>
            </w:r>
          </w:p>
        </w:tc>
        <w:tc>
          <w:tcPr>
            <w:tcW w:w="2508" w:type="dxa"/>
            <w:tcBorders/>
            <w:vAlign w:val="center"/>
          </w:tcPr>
          <w:p>
            <w:pPr>
              <w:pStyle w:val="TableContents"/>
              <w:bidi w:val="0"/>
              <w:spacing w:before="0" w:after="283"/>
              <w:jc w:val="left"/>
              <w:rPr>
                <w:sz w:val="4"/>
                <w:szCs w:val="4"/>
              </w:rPr>
            </w:pPr>
            <w:r>
              <w:rPr>
                <w:sz w:val="4"/>
                <w:szCs w:val="4"/>
              </w:rPr>
            </w:r>
          </w:p>
        </w:tc>
        <w:tc>
          <w:tcPr>
            <w:tcW w:w="251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r>
      <w:tr>
        <w:trPr/>
        <w:tc>
          <w:tcPr>
            <w:tcW w:w="1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20"/>
                <w:u w:val="single"/>
              </w:rPr>
            </w:pPr>
            <w:r>
              <w:rPr>
                <w:rFonts w:ascii="Open Sans;sans-serif" w:hAnsi="Open Sans;sans-serif"/>
                <w:b/>
                <w:color w:val="000000"/>
                <w:sz w:val="20"/>
                <w:u w:val="single"/>
              </w:rPr>
              <w:t>Page</w:t>
            </w:r>
          </w:p>
        </w:tc>
      </w:tr>
      <w:tr>
        <w:trPr/>
        <w:tc>
          <w:tcPr>
            <w:tcW w:w="9496"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86ce94018fb640d7903f0edbc68bd8af_10">
              <w:r>
                <w:rPr>
                  <w:rStyle w:val="InternetLink"/>
                  <w:rFonts w:ascii="Open Sans;sans-serif" w:hAnsi="Open Sans;sans-serif"/>
                  <w:b w:val="false"/>
                  <w:color w:val="0000FF"/>
                  <w:sz w:val="20"/>
                  <w:u w:val="single"/>
                </w:rPr>
                <w:t>Note About Forward-Looking Statements</w:t>
              </w:r>
            </w:hyperlink>
          </w:p>
        </w:tc>
        <w:tc>
          <w:tcPr>
            <w:tcW w:w="70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6ce94018fb640d7903f0edbc68bd8af_10">
              <w:r>
                <w:rPr>
                  <w:rStyle w:val="InternetLink"/>
                  <w:rFonts w:ascii="Open Sans;sans-serif" w:hAnsi="Open Sans;sans-serif"/>
                  <w:b w:val="false"/>
                  <w:color w:val="0000FF"/>
                  <w:sz w:val="20"/>
                  <w:u w:val="single"/>
                </w:rPr>
                <w:t>3</w:t>
              </w:r>
            </w:hyperlink>
          </w:p>
        </w:tc>
      </w:tr>
      <w:tr>
        <w:trPr/>
        <w:tc>
          <w:tcPr>
            <w:tcW w:w="1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6ce94018fb640d7903f0edbc68bd8af_13">
              <w:r>
                <w:rPr>
                  <w:rStyle w:val="InternetLink"/>
                  <w:rFonts w:ascii="Open Sans;sans-serif" w:hAnsi="Open Sans;sans-serif"/>
                  <w:b/>
                  <w:strike w:val="false"/>
                  <w:dstrike w:val="false"/>
                  <w:color w:val="000000"/>
                  <w:sz w:val="20"/>
                  <w:u w:val="none"/>
                  <w:effect w:val="none"/>
                </w:rPr>
                <w:t>Part I - Financial Information</w:t>
              </w:r>
            </w:hyperlink>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6ce94018fb640d7903f0edbc68bd8af_16">
              <w:r>
                <w:rPr>
                  <w:rStyle w:val="InternetLink"/>
                  <w:rFonts w:ascii="Open Sans;sans-serif" w:hAnsi="Open Sans;sans-serif"/>
                  <w:b w:val="false"/>
                  <w:color w:val="0000FF"/>
                  <w:sz w:val="20"/>
                  <w:u w:val="single"/>
                </w:rPr>
                <w:t>Item 1.</w:t>
              </w:r>
            </w:hyperlink>
          </w:p>
        </w:tc>
        <w:tc>
          <w:tcPr>
            <w:tcW w:w="76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6ce94018fb640d7903f0edbc68bd8af_16">
              <w:r>
                <w:rPr>
                  <w:rStyle w:val="InternetLink"/>
                  <w:rFonts w:ascii="Open Sans;sans-serif" w:hAnsi="Open Sans;sans-serif"/>
                  <w:b w:val="false"/>
                  <w:color w:val="0000FF"/>
                  <w:sz w:val="20"/>
                  <w:u w:val="single"/>
                </w:rPr>
                <w:t>Condensed Consolidated Financial Statements:</w:t>
              </w:r>
            </w:hyperlink>
          </w:p>
        </w:tc>
        <w:tc>
          <w:tcPr>
            <w:tcW w:w="70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6ce94018fb640d7903f0edbc68bd8af_16">
              <w:r>
                <w:rPr>
                  <w:rStyle w:val="InternetLink"/>
                  <w:rFonts w:ascii="Open Sans;sans-serif" w:hAnsi="Open Sans;sans-serif"/>
                  <w:b w:val="false"/>
                  <w:color w:val="0000FF"/>
                  <w:sz w:val="20"/>
                  <w:u w:val="single"/>
                </w:rPr>
                <w:t>5</w:t>
              </w:r>
            </w:hyperlink>
          </w:p>
        </w:tc>
      </w:tr>
      <w:tr>
        <w:trPr/>
        <w:tc>
          <w:tcPr>
            <w:tcW w:w="1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6ce94018fb640d7903f0edbc68bd8af_19">
              <w:r>
                <w:rPr>
                  <w:rStyle w:val="InternetLink"/>
                  <w:rFonts w:ascii="Open Sans;sans-serif" w:hAnsi="Open Sans;sans-serif"/>
                  <w:b w:val="false"/>
                  <w:color w:val="0000FF"/>
                  <w:sz w:val="20"/>
                  <w:u w:val="single"/>
                </w:rPr>
                <w:t>Condensed Consolidated Balance Sheets</w:t>
              </w:r>
            </w:hyperlink>
          </w:p>
        </w:tc>
        <w:tc>
          <w:tcPr>
            <w:tcW w:w="70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6ce94018fb640d7903f0edbc68bd8af_19">
              <w:r>
                <w:rPr>
                  <w:rStyle w:val="InternetLink"/>
                  <w:rFonts w:ascii="Open Sans;sans-serif" w:hAnsi="Open Sans;sans-serif"/>
                  <w:b w:val="false"/>
                  <w:color w:val="0000FF"/>
                  <w:sz w:val="20"/>
                  <w:u w:val="single"/>
                </w:rPr>
                <w:t>5</w:t>
              </w:r>
            </w:hyperlink>
          </w:p>
        </w:tc>
      </w:tr>
      <w:tr>
        <w:trPr/>
        <w:tc>
          <w:tcPr>
            <w:tcW w:w="1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6ce94018fb640d7903f0edbc68bd8af_22">
              <w:r>
                <w:rPr>
                  <w:rStyle w:val="InternetLink"/>
                  <w:rFonts w:ascii="Open Sans;sans-serif" w:hAnsi="Open Sans;sans-serif"/>
                  <w:b w:val="false"/>
                  <w:color w:val="000080"/>
                  <w:sz w:val="20"/>
                  <w:u w:val="single"/>
                </w:rPr>
                <w:t xml:space="preserve">Condensed Consolidated Statements of Operations and Comprehensive </w:t>
              </w:r>
            </w:hyperlink>
            <w:hyperlink w:anchor="i86ce94018fb640d7903f0edbc68bd8af_22">
              <w:r>
                <w:rPr>
                  <w:rStyle w:val="InternetLink"/>
                  <w:rFonts w:ascii="Open Sans;sans-serif" w:hAnsi="Open Sans;sans-serif"/>
                  <w:b w:val="false"/>
                  <w:color w:val="000080"/>
                  <w:sz w:val="20"/>
                  <w:u w:val="single"/>
                </w:rPr>
                <w:t xml:space="preserve">Income </w:t>
              </w:r>
            </w:hyperlink>
            <w:hyperlink w:anchor="i86ce94018fb640d7903f0edbc68bd8af_22">
              <w:r>
                <w:rPr>
                  <w:rStyle w:val="InternetLink"/>
                  <w:rFonts w:ascii="Open Sans;sans-serif" w:hAnsi="Open Sans;sans-serif"/>
                  <w:b w:val="false"/>
                  <w:color w:val="000080"/>
                  <w:sz w:val="20"/>
                  <w:u w:val="single"/>
                </w:rPr>
                <w:t>(Loss)</w:t>
              </w:r>
            </w:hyperlink>
          </w:p>
        </w:tc>
        <w:tc>
          <w:tcPr>
            <w:tcW w:w="70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6ce94018fb640d7903f0edbc68bd8af_22">
              <w:r>
                <w:rPr>
                  <w:rStyle w:val="InternetLink"/>
                  <w:rFonts w:ascii="Open Sans;sans-serif" w:hAnsi="Open Sans;sans-serif"/>
                  <w:b w:val="false"/>
                  <w:color w:val="0000FF"/>
                  <w:sz w:val="20"/>
                  <w:u w:val="single"/>
                </w:rPr>
                <w:t>6</w:t>
              </w:r>
            </w:hyperlink>
          </w:p>
        </w:tc>
      </w:tr>
      <w:tr>
        <w:trPr/>
        <w:tc>
          <w:tcPr>
            <w:tcW w:w="1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6ce94018fb640d7903f0edbc68bd8af_25">
              <w:r>
                <w:rPr>
                  <w:rStyle w:val="InternetLink"/>
                  <w:rFonts w:ascii="Open Sans;sans-serif" w:hAnsi="Open Sans;sans-serif"/>
                  <w:b w:val="false"/>
                  <w:color w:val="0000FF"/>
                  <w:sz w:val="20"/>
                  <w:u w:val="single"/>
                </w:rPr>
                <w:t>Condensed Consolidated Statements of Stockholders' Equity</w:t>
              </w:r>
            </w:hyperlink>
          </w:p>
        </w:tc>
        <w:tc>
          <w:tcPr>
            <w:tcW w:w="70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6ce94018fb640d7903f0edbc68bd8af_25">
              <w:r>
                <w:rPr>
                  <w:rStyle w:val="InternetLink"/>
                  <w:rFonts w:ascii="Open Sans;sans-serif" w:hAnsi="Open Sans;sans-serif"/>
                  <w:b w:val="false"/>
                  <w:color w:val="0000FF"/>
                  <w:sz w:val="20"/>
                  <w:u w:val="single"/>
                </w:rPr>
                <w:t>7</w:t>
              </w:r>
            </w:hyperlink>
          </w:p>
        </w:tc>
      </w:tr>
      <w:tr>
        <w:trPr/>
        <w:tc>
          <w:tcPr>
            <w:tcW w:w="1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6ce94018fb640d7903f0edbc68bd8af_28">
              <w:r>
                <w:rPr>
                  <w:rStyle w:val="InternetLink"/>
                  <w:rFonts w:ascii="Open Sans;sans-serif" w:hAnsi="Open Sans;sans-serif"/>
                  <w:b w:val="false"/>
                  <w:color w:val="0000FF"/>
                  <w:sz w:val="20"/>
                  <w:u w:val="single"/>
                </w:rPr>
                <w:t>Condensed Consolidated Statements of Cash Flows</w:t>
              </w:r>
            </w:hyperlink>
          </w:p>
        </w:tc>
        <w:tc>
          <w:tcPr>
            <w:tcW w:w="70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6ce94018fb640d7903f0edbc68bd8af_28">
              <w:r>
                <w:rPr>
                  <w:rStyle w:val="InternetLink"/>
                  <w:rFonts w:ascii="Open Sans;sans-serif" w:hAnsi="Open Sans;sans-serif"/>
                  <w:b w:val="false"/>
                  <w:color w:val="0000FF"/>
                  <w:sz w:val="20"/>
                  <w:u w:val="single"/>
                </w:rPr>
                <w:t>8</w:t>
              </w:r>
            </w:hyperlink>
          </w:p>
        </w:tc>
      </w:tr>
      <w:tr>
        <w:trPr/>
        <w:tc>
          <w:tcPr>
            <w:tcW w:w="1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6ce94018fb640d7903f0edbc68bd8af_31">
              <w:r>
                <w:rPr>
                  <w:rStyle w:val="InternetLink"/>
                  <w:rFonts w:ascii="Open Sans;sans-serif" w:hAnsi="Open Sans;sans-serif"/>
                  <w:b w:val="false"/>
                  <w:color w:val="0000FF"/>
                  <w:sz w:val="20"/>
                  <w:u w:val="single"/>
                </w:rPr>
                <w:t>Notes to Condensed Consolidated Financial Statements</w:t>
              </w:r>
            </w:hyperlink>
          </w:p>
        </w:tc>
        <w:tc>
          <w:tcPr>
            <w:tcW w:w="70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6ce94018fb640d7903f0edbc68bd8af_31">
              <w:r>
                <w:rPr>
                  <w:rStyle w:val="InternetLink"/>
                  <w:rFonts w:ascii="Open Sans;sans-serif" w:hAnsi="Open Sans;sans-serif"/>
                  <w:b w:val="false"/>
                  <w:color w:val="0000FF"/>
                  <w:sz w:val="20"/>
                  <w:u w:val="single"/>
                </w:rPr>
                <w:t>10</w:t>
              </w:r>
            </w:hyperlink>
          </w:p>
        </w:tc>
      </w:tr>
      <w:tr>
        <w:trPr/>
        <w:tc>
          <w:tcPr>
            <w:tcW w:w="189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6ce94018fb640d7903f0edbc68bd8af_82">
              <w:r>
                <w:rPr>
                  <w:rStyle w:val="InternetLink"/>
                  <w:rFonts w:ascii="Open Sans;sans-serif" w:hAnsi="Open Sans;sans-serif"/>
                  <w:b w:val="false"/>
                  <w:color w:val="0000FF"/>
                  <w:sz w:val="20"/>
                  <w:u w:val="single"/>
                </w:rPr>
                <w:t>Item 2.</w:t>
              </w:r>
            </w:hyperlink>
          </w:p>
        </w:tc>
        <w:tc>
          <w:tcPr>
            <w:tcW w:w="76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6ce94018fb640d7903f0edbc68bd8af_82">
              <w:r>
                <w:rPr>
                  <w:rStyle w:val="InternetLink"/>
                  <w:rFonts w:ascii="Open Sans;sans-serif" w:hAnsi="Open Sans;sans-serif"/>
                  <w:b w:val="false"/>
                  <w:color w:val="0000FF"/>
                  <w:sz w:val="20"/>
                  <w:u w:val="single"/>
                </w:rPr>
                <w:t>Management's Discussion and Analysis of Financial Condition and Results of Operations</w:t>
              </w:r>
            </w:hyperlink>
          </w:p>
        </w:tc>
        <w:tc>
          <w:tcPr>
            <w:tcW w:w="70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6ce94018fb640d7903f0edbc68bd8af_82">
              <w:r>
                <w:rPr>
                  <w:rStyle w:val="InternetLink"/>
                  <w:rFonts w:ascii="Open Sans;sans-serif" w:hAnsi="Open Sans;sans-serif"/>
                  <w:b w:val="false"/>
                  <w:color w:val="0000FF"/>
                  <w:sz w:val="20"/>
                  <w:u w:val="single"/>
                </w:rPr>
                <w:t>25</w:t>
              </w:r>
            </w:hyperlink>
          </w:p>
        </w:tc>
      </w:tr>
      <w:tr>
        <w:trPr/>
        <w:tc>
          <w:tcPr>
            <w:tcW w:w="189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6ce94018fb640d7903f0edbc68bd8af_112">
              <w:r>
                <w:rPr>
                  <w:rStyle w:val="InternetLink"/>
                  <w:rFonts w:ascii="Open Sans;sans-serif" w:hAnsi="Open Sans;sans-serif"/>
                  <w:b w:val="false"/>
                  <w:color w:val="0000FF"/>
                  <w:sz w:val="20"/>
                  <w:u w:val="single"/>
                </w:rPr>
                <w:t>Item 3.</w:t>
              </w:r>
            </w:hyperlink>
          </w:p>
        </w:tc>
        <w:tc>
          <w:tcPr>
            <w:tcW w:w="76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6ce94018fb640d7903f0edbc68bd8af_112">
              <w:r>
                <w:rPr>
                  <w:rStyle w:val="InternetLink"/>
                  <w:rFonts w:ascii="Open Sans;sans-serif" w:hAnsi="Open Sans;sans-serif"/>
                  <w:b w:val="false"/>
                  <w:color w:val="0000FF"/>
                  <w:sz w:val="20"/>
                  <w:u w:val="single"/>
                </w:rPr>
                <w:t>Quantitative and Qualitative Disclosures About Market Risk</w:t>
              </w:r>
            </w:hyperlink>
          </w:p>
        </w:tc>
        <w:tc>
          <w:tcPr>
            <w:tcW w:w="70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6ce94018fb640d7903f0edbc68bd8af_112">
              <w:r>
                <w:rPr>
                  <w:rStyle w:val="InternetLink"/>
                  <w:rFonts w:ascii="Open Sans;sans-serif" w:hAnsi="Open Sans;sans-serif"/>
                  <w:b w:val="false"/>
                  <w:color w:val="0000FF"/>
                  <w:sz w:val="20"/>
                  <w:u w:val="single"/>
                </w:rPr>
                <w:t>37</w:t>
              </w:r>
            </w:hyperlink>
          </w:p>
        </w:tc>
      </w:tr>
      <w:tr>
        <w:trPr/>
        <w:tc>
          <w:tcPr>
            <w:tcW w:w="189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6ce94018fb640d7903f0edbc68bd8af_115">
              <w:r>
                <w:rPr>
                  <w:rStyle w:val="InternetLink"/>
                  <w:rFonts w:ascii="Open Sans;sans-serif" w:hAnsi="Open Sans;sans-serif"/>
                  <w:b w:val="false"/>
                  <w:color w:val="0000FF"/>
                  <w:sz w:val="20"/>
                  <w:u w:val="single"/>
                </w:rPr>
                <w:t>Item 4.</w:t>
              </w:r>
            </w:hyperlink>
          </w:p>
        </w:tc>
        <w:tc>
          <w:tcPr>
            <w:tcW w:w="76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6ce94018fb640d7903f0edbc68bd8af_115">
              <w:r>
                <w:rPr>
                  <w:rStyle w:val="InternetLink"/>
                  <w:rFonts w:ascii="Open Sans;sans-serif" w:hAnsi="Open Sans;sans-serif"/>
                  <w:b w:val="false"/>
                  <w:color w:val="0000FF"/>
                  <w:sz w:val="20"/>
                  <w:u w:val="single"/>
                </w:rPr>
                <w:t>Controls and Procedures</w:t>
              </w:r>
            </w:hyperlink>
          </w:p>
        </w:tc>
        <w:tc>
          <w:tcPr>
            <w:tcW w:w="70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6ce94018fb640d7903f0edbc68bd8af_115">
              <w:r>
                <w:rPr>
                  <w:rStyle w:val="InternetLink"/>
                  <w:rFonts w:ascii="Open Sans;sans-serif" w:hAnsi="Open Sans;sans-serif"/>
                  <w:b w:val="false"/>
                  <w:color w:val="0000FF"/>
                  <w:sz w:val="20"/>
                  <w:u w:val="single"/>
                </w:rPr>
                <w:t>38</w:t>
              </w:r>
            </w:hyperlink>
          </w:p>
        </w:tc>
      </w:tr>
      <w:tr>
        <w:trPr/>
        <w:tc>
          <w:tcPr>
            <w:tcW w:w="1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6ce94018fb640d7903f0edbc68bd8af_118">
              <w:r>
                <w:rPr>
                  <w:rStyle w:val="InternetLink"/>
                  <w:rFonts w:ascii="Open Sans;sans-serif" w:hAnsi="Open Sans;sans-serif"/>
                  <w:b/>
                  <w:strike w:val="false"/>
                  <w:dstrike w:val="false"/>
                  <w:color w:val="000000"/>
                  <w:sz w:val="20"/>
                  <w:u w:val="none"/>
                  <w:effect w:val="none"/>
                </w:rPr>
                <w:t>Part II - Other Information</w:t>
              </w:r>
            </w:hyperlink>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6ce94018fb640d7903f0edbc68bd8af_121">
              <w:r>
                <w:rPr>
                  <w:rStyle w:val="InternetLink"/>
                  <w:rFonts w:ascii="Open Sans;sans-serif" w:hAnsi="Open Sans;sans-serif"/>
                  <w:b w:val="false"/>
                  <w:color w:val="0000FF"/>
                  <w:sz w:val="20"/>
                  <w:u w:val="single"/>
                </w:rPr>
                <w:t>Item 1.</w:t>
              </w:r>
            </w:hyperlink>
          </w:p>
        </w:tc>
        <w:tc>
          <w:tcPr>
            <w:tcW w:w="76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6ce94018fb640d7903f0edbc68bd8af_121">
              <w:r>
                <w:rPr>
                  <w:rStyle w:val="InternetLink"/>
                  <w:rFonts w:ascii="Open Sans;sans-serif" w:hAnsi="Open Sans;sans-serif"/>
                  <w:b w:val="false"/>
                  <w:color w:val="0000FF"/>
                  <w:sz w:val="20"/>
                  <w:u w:val="single"/>
                </w:rPr>
                <w:t>Legal Proceedings</w:t>
              </w:r>
            </w:hyperlink>
          </w:p>
        </w:tc>
        <w:tc>
          <w:tcPr>
            <w:tcW w:w="70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6ce94018fb640d7903f0edbc68bd8af_121">
              <w:r>
                <w:rPr>
                  <w:rStyle w:val="InternetLink"/>
                  <w:rFonts w:ascii="Open Sans;sans-serif" w:hAnsi="Open Sans;sans-serif"/>
                  <w:b w:val="false"/>
                  <w:color w:val="0000FF"/>
                  <w:sz w:val="20"/>
                  <w:u w:val="single"/>
                </w:rPr>
                <w:t>39</w:t>
              </w:r>
            </w:hyperlink>
          </w:p>
        </w:tc>
      </w:tr>
      <w:tr>
        <w:trPr/>
        <w:tc>
          <w:tcPr>
            <w:tcW w:w="189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6ce94018fb640d7903f0edbc68bd8af_124">
              <w:r>
                <w:rPr>
                  <w:rStyle w:val="InternetLink"/>
                  <w:rFonts w:ascii="Open Sans;sans-serif" w:hAnsi="Open Sans;sans-serif"/>
                  <w:b w:val="false"/>
                  <w:color w:val="0000FF"/>
                  <w:sz w:val="20"/>
                  <w:u w:val="single"/>
                </w:rPr>
                <w:t>Item 1A.</w:t>
              </w:r>
            </w:hyperlink>
          </w:p>
        </w:tc>
        <w:tc>
          <w:tcPr>
            <w:tcW w:w="76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6ce94018fb640d7903f0edbc68bd8af_124">
              <w:r>
                <w:rPr>
                  <w:rStyle w:val="InternetLink"/>
                  <w:rFonts w:ascii="Open Sans;sans-serif" w:hAnsi="Open Sans;sans-serif"/>
                  <w:b w:val="false"/>
                  <w:color w:val="0000FF"/>
                  <w:sz w:val="20"/>
                  <w:u w:val="single"/>
                </w:rPr>
                <w:t>Risk Factors</w:t>
              </w:r>
            </w:hyperlink>
          </w:p>
        </w:tc>
        <w:tc>
          <w:tcPr>
            <w:tcW w:w="70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6ce94018fb640d7903f0edbc68bd8af_124">
              <w:r>
                <w:rPr>
                  <w:rStyle w:val="InternetLink"/>
                  <w:rFonts w:ascii="Open Sans;sans-serif" w:hAnsi="Open Sans;sans-serif"/>
                  <w:b w:val="false"/>
                  <w:color w:val="0000FF"/>
                  <w:sz w:val="20"/>
                  <w:u w:val="single"/>
                </w:rPr>
                <w:t>39</w:t>
              </w:r>
            </w:hyperlink>
          </w:p>
        </w:tc>
      </w:tr>
      <w:tr>
        <w:trPr/>
        <w:tc>
          <w:tcPr>
            <w:tcW w:w="189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6ce94018fb640d7903f0edbc68bd8af_127">
              <w:r>
                <w:rPr>
                  <w:rStyle w:val="InternetLink"/>
                  <w:rFonts w:ascii="Open Sans;sans-serif" w:hAnsi="Open Sans;sans-serif"/>
                  <w:b w:val="false"/>
                  <w:color w:val="0000FF"/>
                  <w:sz w:val="20"/>
                  <w:u w:val="single"/>
                </w:rPr>
                <w:t>Item 2.</w:t>
              </w:r>
            </w:hyperlink>
          </w:p>
        </w:tc>
        <w:tc>
          <w:tcPr>
            <w:tcW w:w="76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6ce94018fb640d7903f0edbc68bd8af_127">
              <w:r>
                <w:rPr>
                  <w:rStyle w:val="InternetLink"/>
                  <w:rFonts w:ascii="Open Sans;sans-serif" w:hAnsi="Open Sans;sans-serif"/>
                  <w:b w:val="false"/>
                  <w:color w:val="0000FF"/>
                  <w:sz w:val="20"/>
                  <w:u w:val="single"/>
                </w:rPr>
                <w:t>Unregistered Sales of Equity Securities and Use of Proceeds</w:t>
              </w:r>
            </w:hyperlink>
          </w:p>
        </w:tc>
        <w:tc>
          <w:tcPr>
            <w:tcW w:w="70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6ce94018fb640d7903f0edbc68bd8af_127">
              <w:r>
                <w:rPr>
                  <w:rStyle w:val="InternetLink"/>
                  <w:rFonts w:ascii="Open Sans;sans-serif" w:hAnsi="Open Sans;sans-serif"/>
                  <w:b w:val="false"/>
                  <w:color w:val="0000FF"/>
                  <w:sz w:val="20"/>
                  <w:u w:val="single"/>
                </w:rPr>
                <w:t>41</w:t>
              </w:r>
            </w:hyperlink>
          </w:p>
        </w:tc>
      </w:tr>
      <w:tr>
        <w:trPr/>
        <w:tc>
          <w:tcPr>
            <w:tcW w:w="189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6ce94018fb640d7903f0edbc68bd8af_130">
              <w:r>
                <w:rPr>
                  <w:rStyle w:val="InternetLink"/>
                  <w:rFonts w:ascii="Open Sans;sans-serif" w:hAnsi="Open Sans;sans-serif"/>
                  <w:b w:val="false"/>
                  <w:color w:val="0000FF"/>
                  <w:sz w:val="20"/>
                  <w:u w:val="single"/>
                </w:rPr>
                <w:t>Item 3.</w:t>
              </w:r>
            </w:hyperlink>
          </w:p>
        </w:tc>
        <w:tc>
          <w:tcPr>
            <w:tcW w:w="76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6ce94018fb640d7903f0edbc68bd8af_130">
              <w:r>
                <w:rPr>
                  <w:rStyle w:val="InternetLink"/>
                  <w:rFonts w:ascii="Open Sans;sans-serif" w:hAnsi="Open Sans;sans-serif"/>
                  <w:b w:val="false"/>
                  <w:color w:val="0000FF"/>
                  <w:sz w:val="20"/>
                  <w:u w:val="single"/>
                </w:rPr>
                <w:t>Defaults Upon Senior Securities</w:t>
              </w:r>
            </w:hyperlink>
          </w:p>
        </w:tc>
        <w:tc>
          <w:tcPr>
            <w:tcW w:w="70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6ce94018fb640d7903f0edbc68bd8af_130">
              <w:r>
                <w:rPr>
                  <w:rStyle w:val="InternetLink"/>
                  <w:rFonts w:ascii="Open Sans;sans-serif" w:hAnsi="Open Sans;sans-serif"/>
                  <w:b w:val="false"/>
                  <w:color w:val="0000FF"/>
                  <w:sz w:val="20"/>
                  <w:u w:val="single"/>
                </w:rPr>
                <w:t>41</w:t>
              </w:r>
            </w:hyperlink>
          </w:p>
        </w:tc>
      </w:tr>
      <w:tr>
        <w:trPr/>
        <w:tc>
          <w:tcPr>
            <w:tcW w:w="189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6ce94018fb640d7903f0edbc68bd8af_133">
              <w:r>
                <w:rPr>
                  <w:rStyle w:val="InternetLink"/>
                  <w:rFonts w:ascii="Open Sans;sans-serif" w:hAnsi="Open Sans;sans-serif"/>
                  <w:b w:val="false"/>
                  <w:color w:val="0000FF"/>
                  <w:sz w:val="20"/>
                  <w:u w:val="single"/>
                </w:rPr>
                <w:t>Item 4.</w:t>
              </w:r>
            </w:hyperlink>
          </w:p>
        </w:tc>
        <w:tc>
          <w:tcPr>
            <w:tcW w:w="76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6ce94018fb640d7903f0edbc68bd8af_133">
              <w:r>
                <w:rPr>
                  <w:rStyle w:val="InternetLink"/>
                  <w:rFonts w:ascii="Open Sans;sans-serif" w:hAnsi="Open Sans;sans-serif"/>
                  <w:b w:val="false"/>
                  <w:color w:val="0000FF"/>
                  <w:sz w:val="20"/>
                  <w:u w:val="single"/>
                </w:rPr>
                <w:t>Mine Safety Disclosures</w:t>
              </w:r>
            </w:hyperlink>
          </w:p>
        </w:tc>
        <w:tc>
          <w:tcPr>
            <w:tcW w:w="70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6ce94018fb640d7903f0edbc68bd8af_133">
              <w:r>
                <w:rPr>
                  <w:rStyle w:val="InternetLink"/>
                  <w:rFonts w:ascii="Open Sans;sans-serif" w:hAnsi="Open Sans;sans-serif"/>
                  <w:b w:val="false"/>
                  <w:color w:val="0000FF"/>
                  <w:sz w:val="20"/>
                  <w:u w:val="single"/>
                </w:rPr>
                <w:t>41</w:t>
              </w:r>
            </w:hyperlink>
          </w:p>
        </w:tc>
      </w:tr>
      <w:tr>
        <w:trPr/>
        <w:tc>
          <w:tcPr>
            <w:tcW w:w="189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6ce94018fb640d7903f0edbc68bd8af_136">
              <w:r>
                <w:rPr>
                  <w:rStyle w:val="InternetLink"/>
                  <w:rFonts w:ascii="Open Sans;sans-serif" w:hAnsi="Open Sans;sans-serif"/>
                  <w:b w:val="false"/>
                  <w:color w:val="0000FF"/>
                  <w:sz w:val="20"/>
                  <w:u w:val="single"/>
                </w:rPr>
                <w:t>Item 5.</w:t>
              </w:r>
            </w:hyperlink>
          </w:p>
        </w:tc>
        <w:tc>
          <w:tcPr>
            <w:tcW w:w="76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6ce94018fb640d7903f0edbc68bd8af_136">
              <w:r>
                <w:rPr>
                  <w:rStyle w:val="InternetLink"/>
                  <w:rFonts w:ascii="Open Sans;sans-serif" w:hAnsi="Open Sans;sans-serif"/>
                  <w:b w:val="false"/>
                  <w:color w:val="0000FF"/>
                  <w:sz w:val="20"/>
                  <w:u w:val="single"/>
                </w:rPr>
                <w:t>Other Information</w:t>
              </w:r>
            </w:hyperlink>
          </w:p>
        </w:tc>
        <w:tc>
          <w:tcPr>
            <w:tcW w:w="70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6ce94018fb640d7903f0edbc68bd8af_136">
              <w:r>
                <w:rPr>
                  <w:rStyle w:val="InternetLink"/>
                  <w:rFonts w:ascii="Open Sans;sans-serif" w:hAnsi="Open Sans;sans-serif"/>
                  <w:b w:val="false"/>
                  <w:color w:val="0000FF"/>
                  <w:sz w:val="20"/>
                  <w:u w:val="single"/>
                </w:rPr>
                <w:t>41</w:t>
              </w:r>
            </w:hyperlink>
          </w:p>
        </w:tc>
      </w:tr>
      <w:tr>
        <w:trPr/>
        <w:tc>
          <w:tcPr>
            <w:tcW w:w="189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6ce94018fb640d7903f0edbc68bd8af_142">
              <w:r>
                <w:rPr>
                  <w:rStyle w:val="InternetLink"/>
                  <w:rFonts w:ascii="Open Sans;sans-serif" w:hAnsi="Open Sans;sans-serif"/>
                  <w:b w:val="false"/>
                  <w:color w:val="0000FF"/>
                  <w:sz w:val="20"/>
                  <w:u w:val="single"/>
                </w:rPr>
                <w:t>Item 6.</w:t>
              </w:r>
            </w:hyperlink>
          </w:p>
        </w:tc>
        <w:tc>
          <w:tcPr>
            <w:tcW w:w="76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6ce94018fb640d7903f0edbc68bd8af_142">
              <w:r>
                <w:rPr>
                  <w:rStyle w:val="InternetLink"/>
                  <w:rFonts w:ascii="Open Sans;sans-serif" w:hAnsi="Open Sans;sans-serif"/>
                  <w:b w:val="false"/>
                  <w:color w:val="0000FF"/>
                  <w:sz w:val="20"/>
                  <w:u w:val="single"/>
                </w:rPr>
                <w:t>Exhibits</w:t>
              </w:r>
            </w:hyperlink>
          </w:p>
        </w:tc>
        <w:tc>
          <w:tcPr>
            <w:tcW w:w="70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6ce94018fb640d7903f0edbc68bd8af_142">
              <w:r>
                <w:rPr>
                  <w:rStyle w:val="InternetLink"/>
                  <w:rFonts w:ascii="Open Sans;sans-serif" w:hAnsi="Open Sans;sans-serif"/>
                  <w:b w:val="false"/>
                  <w:color w:val="0000FF"/>
                  <w:sz w:val="20"/>
                  <w:u w:val="single"/>
                </w:rPr>
                <w:t>42</w:t>
              </w:r>
            </w:hyperlink>
          </w:p>
        </w:tc>
      </w:tr>
      <w:tr>
        <w:trPr/>
        <w:tc>
          <w:tcPr>
            <w:tcW w:w="1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6ce94018fb640d7903f0edbc68bd8af_145">
              <w:r>
                <w:rPr>
                  <w:rStyle w:val="InternetLink"/>
                  <w:rFonts w:ascii="Open Sans;sans-serif" w:hAnsi="Open Sans;sans-serif"/>
                  <w:b w:val="false"/>
                  <w:color w:val="0000FF"/>
                  <w:sz w:val="20"/>
                  <w:u w:val="single"/>
                </w:rPr>
                <w:t>Signatures</w:t>
              </w:r>
            </w:hyperlink>
          </w:p>
        </w:tc>
        <w:tc>
          <w:tcPr>
            <w:tcW w:w="70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6ce94018fb640d7903f0edbc68bd8af_145">
              <w:r>
                <w:rPr>
                  <w:rStyle w:val="InternetLink"/>
                  <w:rFonts w:ascii="Open Sans;sans-serif" w:hAnsi="Open Sans;sans-serif"/>
                  <w:b w:val="false"/>
                  <w:color w:val="0000FF"/>
                  <w:sz w:val="20"/>
                  <w:u w:val="single"/>
                </w:rPr>
                <w:t>43</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7955"/>
                <wp:effectExtent l="0" t="0" r="0" b="0"/>
                <wp:wrapNone/>
                <wp:docPr id="2" name="Frame2"/>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Open Sans;sans-serif" w:hAnsi="Open Sans;sans-serif"/>
          <w:b/>
          <w:color w:val="000000"/>
          <w:sz w:val="20"/>
        </w:rPr>
      </w:pPr>
      <w:r>
        <w:rPr>
          <w:rFonts w:ascii="Open Sans;sans-serif" w:hAnsi="Open Sans;sans-serif"/>
          <w:b/>
          <w:color w:val="000000"/>
          <w:sz w:val="20"/>
        </w:rPr>
        <w:t>Note About Forward-Looking Statements</w:t>
      </w:r>
    </w:p>
    <w:p>
      <w:pPr>
        <w:pStyle w:val="TextBody"/>
        <w:bidi w:val="0"/>
        <w:spacing w:lineRule="auto" w:line="288" w:before="180" w:after="283"/>
        <w:jc w:val="both"/>
        <w:rPr>
          <w:rFonts w:ascii="Open Sans;sans-serif" w:hAnsi="Open Sans;sans-serif"/>
          <w:b w:val="false"/>
          <w:i/>
          <w:color w:val="000000"/>
          <w:sz w:val="20"/>
        </w:rPr>
      </w:pPr>
      <w:r>
        <w:rPr>
          <w:rFonts w:ascii="Open Sans;sans-serif" w:hAnsi="Open Sans;sans-serif"/>
          <w:b w:val="false"/>
          <w:i/>
          <w:color w:val="000000"/>
          <w:sz w:val="20"/>
        </w:rPr>
        <w:t>This Quarterly Report on Form 10-Q contains forward-looking statements within the meaning of the federal securities laws, which are statements that involve substantial risks and uncertainties. Forward-looking statements generally relate to future events or our future financial or operating performance. In some cases, you can identify forward-looking statements because they contain words such as “may,” “will,” “shall,” “should,” “expects,” “plans,” “anticipates,” “could,” “intends,” “target,” “projects,” “contemplates,” “believes,” “estimates,” “predicts,” “potential,” or “continue” or the negative of these words or other similar terms or expressions that concern our expectations, strategy, plans or intentions. Forward-looking statements contained in this Quarterly Report on Form 10-Q include, but are not limited to, statements about:</w:t>
      </w:r>
    </w:p>
    <w:p>
      <w:pPr>
        <w:pStyle w:val="TextBody"/>
        <w:bidi w:val="0"/>
        <w:spacing w:lineRule="auto" w:line="288" w:before="120" w:after="283"/>
        <w:ind w:left="0" w:right="0" w:hanging="360"/>
        <w:jc w:val="both"/>
        <w:rPr/>
      </w:pPr>
      <w:r>
        <w:rPr>
          <w:color w:val="000000"/>
        </w:rPr>
        <w:t>•</w:t>
      </w:r>
      <w:r>
        <w:rPr>
          <w:rFonts w:ascii="Open Sans;sans-serif" w:hAnsi="Open Sans;sans-serif"/>
          <w:b w:val="false"/>
          <w:i/>
          <w:color w:val="000000"/>
          <w:sz w:val="20"/>
        </w:rPr>
        <w:t>uncertainties related to U.S. and global economies and the effect on our business, results of operations, and financial condition;</w:t>
      </w:r>
    </w:p>
    <w:p>
      <w:pPr>
        <w:pStyle w:val="TextBody"/>
        <w:bidi w:val="0"/>
        <w:spacing w:lineRule="auto" w:line="288" w:before="60" w:after="283"/>
        <w:ind w:left="0" w:right="0" w:hanging="360"/>
        <w:jc w:val="both"/>
        <w:rPr/>
      </w:pPr>
      <w:r>
        <w:rPr>
          <w:color w:val="000000"/>
        </w:rPr>
        <w:t>•</w:t>
      </w:r>
      <w:r>
        <w:rPr>
          <w:rFonts w:ascii="Open Sans;sans-serif" w:hAnsi="Open Sans;sans-serif"/>
          <w:b w:val="false"/>
          <w:i/>
          <w:color w:val="000000"/>
          <w:sz w:val="20"/>
        </w:rPr>
        <w:t>our future financial performance and any fluctuations in such performance, including our net revenue, costs of revenue, gross profit, and operating expenses, and our ability to achieve future profitability;</w:t>
      </w:r>
    </w:p>
    <w:p>
      <w:pPr>
        <w:pStyle w:val="TextBody"/>
        <w:bidi w:val="0"/>
        <w:spacing w:lineRule="auto" w:line="288" w:before="60" w:after="283"/>
        <w:ind w:left="0" w:right="0" w:hanging="360"/>
        <w:jc w:val="both"/>
        <w:rPr/>
      </w:pPr>
      <w:r>
        <w:rPr>
          <w:color w:val="000000"/>
        </w:rPr>
        <w:t>•</w:t>
      </w:r>
      <w:r>
        <w:rPr>
          <w:rFonts w:ascii="Open Sans;sans-serif" w:hAnsi="Open Sans;sans-serif"/>
          <w:b w:val="false"/>
          <w:i/>
          <w:color w:val="000000"/>
          <w:sz w:val="20"/>
        </w:rPr>
        <w:t>our ability to introduce and scale new products and services, such as our credit card platform;</w:t>
      </w:r>
    </w:p>
    <w:p>
      <w:pPr>
        <w:pStyle w:val="TextBody"/>
        <w:bidi w:val="0"/>
        <w:spacing w:lineRule="auto" w:line="288" w:before="60" w:after="283"/>
        <w:ind w:left="0" w:right="0" w:hanging="360"/>
        <w:jc w:val="both"/>
        <w:rPr/>
      </w:pPr>
      <w:r>
        <w:rPr>
          <w:color w:val="000000"/>
        </w:rPr>
        <w:t>•</w:t>
      </w:r>
      <w:r>
        <w:rPr>
          <w:rFonts w:ascii="Open Sans;sans-serif" w:hAnsi="Open Sans;sans-serif"/>
          <w:b w:val="false"/>
          <w:i/>
          <w:color w:val="000000"/>
          <w:sz w:val="20"/>
        </w:rPr>
        <w:t>our ability to effectively manage or sustain our growth and expand our operations;</w:t>
      </w:r>
    </w:p>
    <w:p>
      <w:pPr>
        <w:pStyle w:val="TextBody"/>
        <w:bidi w:val="0"/>
        <w:spacing w:lineRule="auto" w:line="288" w:before="60" w:after="283"/>
        <w:ind w:left="0" w:right="0" w:hanging="360"/>
        <w:jc w:val="both"/>
        <w:rPr/>
      </w:pPr>
      <w:r>
        <w:rPr>
          <w:color w:val="000000"/>
        </w:rPr>
        <w:t>•</w:t>
      </w:r>
      <w:r>
        <w:rPr>
          <w:rFonts w:ascii="Open Sans;sans-serif" w:hAnsi="Open Sans;sans-serif"/>
          <w:b w:val="false"/>
          <w:i/>
          <w:color w:val="000000"/>
          <w:sz w:val="20"/>
        </w:rPr>
        <w:t>our ability to enhance our platform and services and develop and expand our capabilities;</w:t>
      </w:r>
    </w:p>
    <w:p>
      <w:pPr>
        <w:pStyle w:val="TextBody"/>
        <w:bidi w:val="0"/>
        <w:spacing w:lineRule="auto" w:line="288" w:before="60" w:after="283"/>
        <w:ind w:left="0" w:right="0" w:hanging="360"/>
        <w:jc w:val="both"/>
        <w:rPr/>
      </w:pPr>
      <w:r>
        <w:rPr>
          <w:color w:val="000000"/>
        </w:rPr>
        <w:t>•</w:t>
      </w:r>
      <w:r>
        <w:rPr>
          <w:rFonts w:ascii="Open Sans;sans-serif" w:hAnsi="Open Sans;sans-serif"/>
          <w:b w:val="false"/>
          <w:i/>
          <w:color w:val="000000"/>
          <w:sz w:val="20"/>
        </w:rPr>
        <w:t>our ability to further attract, retain, diversify, and expand our customer base;</w:t>
      </w:r>
    </w:p>
    <w:p>
      <w:pPr>
        <w:pStyle w:val="TextBody"/>
        <w:bidi w:val="0"/>
        <w:spacing w:lineRule="auto" w:line="288" w:before="60" w:after="283"/>
        <w:ind w:left="0" w:right="0" w:hanging="360"/>
        <w:jc w:val="both"/>
        <w:rPr/>
      </w:pPr>
      <w:r>
        <w:rPr>
          <w:color w:val="000000"/>
        </w:rPr>
        <w:t>•</w:t>
      </w:r>
      <w:r>
        <w:rPr>
          <w:rFonts w:ascii="Open Sans;sans-serif" w:hAnsi="Open Sans;sans-serif"/>
          <w:b w:val="false"/>
          <w:i/>
          <w:color w:val="000000"/>
          <w:sz w:val="20"/>
        </w:rPr>
        <w:t>our ability to maintain our relationships with Issuing Banks, Card Networks, and the other third parties with which we work;</w:t>
      </w:r>
    </w:p>
    <w:p>
      <w:pPr>
        <w:pStyle w:val="TextBody"/>
        <w:bidi w:val="0"/>
        <w:spacing w:lineRule="auto" w:line="288" w:before="60" w:after="283"/>
        <w:ind w:left="0" w:right="0" w:hanging="360"/>
        <w:jc w:val="both"/>
        <w:rPr/>
      </w:pPr>
      <w:r>
        <w:rPr>
          <w:color w:val="000000"/>
        </w:rPr>
        <w:t>•</w:t>
      </w:r>
      <w:r>
        <w:rPr>
          <w:rFonts w:ascii="Open Sans;sans-serif" w:hAnsi="Open Sans;sans-serif"/>
          <w:b w:val="false"/>
          <w:i/>
          <w:color w:val="000000"/>
          <w:sz w:val="20"/>
        </w:rPr>
        <w:t>our strategies, plans, objectives, and goals;</w:t>
      </w:r>
    </w:p>
    <w:p>
      <w:pPr>
        <w:pStyle w:val="TextBody"/>
        <w:bidi w:val="0"/>
        <w:spacing w:lineRule="auto" w:line="288" w:before="60" w:after="283"/>
        <w:ind w:left="0" w:right="0" w:hanging="360"/>
        <w:jc w:val="both"/>
        <w:rPr/>
      </w:pPr>
      <w:r>
        <w:rPr>
          <w:color w:val="000000"/>
        </w:rPr>
        <w:t>•</w:t>
      </w:r>
      <w:r>
        <w:rPr>
          <w:rFonts w:ascii="Open Sans;sans-serif" w:hAnsi="Open Sans;sans-serif"/>
          <w:b w:val="false"/>
          <w:i/>
          <w:color w:val="000000"/>
          <w:sz w:val="20"/>
        </w:rPr>
        <w:t>our plans to expand internationally;</w:t>
      </w:r>
    </w:p>
    <w:p>
      <w:pPr>
        <w:pStyle w:val="TextBody"/>
        <w:bidi w:val="0"/>
        <w:spacing w:lineRule="auto" w:line="288" w:before="60" w:after="283"/>
        <w:ind w:left="0" w:right="0" w:hanging="360"/>
        <w:jc w:val="both"/>
        <w:rPr/>
      </w:pPr>
      <w:r>
        <w:rPr>
          <w:color w:val="000000"/>
        </w:rPr>
        <w:t>•</w:t>
      </w:r>
      <w:r>
        <w:rPr>
          <w:rFonts w:ascii="Open Sans;sans-serif" w:hAnsi="Open Sans;sans-serif"/>
          <w:b w:val="false"/>
          <w:i/>
          <w:color w:val="000000"/>
          <w:sz w:val="20"/>
        </w:rPr>
        <w:t>past and future acquisitions, investments, and other strategic investments;</w:t>
      </w:r>
    </w:p>
    <w:p>
      <w:pPr>
        <w:pStyle w:val="TextBody"/>
        <w:bidi w:val="0"/>
        <w:spacing w:lineRule="auto" w:line="288" w:before="60" w:after="283"/>
        <w:ind w:left="0" w:right="0" w:hanging="360"/>
        <w:jc w:val="both"/>
        <w:rPr/>
      </w:pPr>
      <w:r>
        <w:rPr>
          <w:color w:val="000000"/>
        </w:rPr>
        <w:t>•</w:t>
      </w:r>
      <w:r>
        <w:rPr>
          <w:rFonts w:ascii="Open Sans;sans-serif" w:hAnsi="Open Sans;sans-serif"/>
          <w:b w:val="false"/>
          <w:i/>
          <w:color w:val="000000"/>
          <w:sz w:val="20"/>
        </w:rPr>
        <w:t>our ability to compete in existing and new markets and offerings;</w:t>
      </w:r>
    </w:p>
    <w:p>
      <w:pPr>
        <w:pStyle w:val="TextBody"/>
        <w:bidi w:val="0"/>
        <w:spacing w:lineRule="auto" w:line="288" w:before="60" w:after="283"/>
        <w:ind w:left="0" w:right="0" w:hanging="360"/>
        <w:jc w:val="both"/>
        <w:rPr/>
      </w:pPr>
      <w:r>
        <w:rPr>
          <w:color w:val="000000"/>
        </w:rPr>
        <w:t>•</w:t>
      </w:r>
      <w:r>
        <w:rPr>
          <w:rFonts w:ascii="Open Sans;sans-serif" w:hAnsi="Open Sans;sans-serif"/>
          <w:b w:val="false"/>
          <w:i/>
          <w:color w:val="000000"/>
          <w:sz w:val="20"/>
        </w:rPr>
        <w:t>our estimated market opportunity;</w:t>
      </w:r>
    </w:p>
    <w:p>
      <w:pPr>
        <w:pStyle w:val="TextBody"/>
        <w:bidi w:val="0"/>
        <w:spacing w:lineRule="auto" w:line="288" w:before="60" w:after="283"/>
        <w:ind w:left="0" w:right="0" w:hanging="360"/>
        <w:jc w:val="both"/>
        <w:rPr/>
      </w:pPr>
      <w:r>
        <w:rPr>
          <w:color w:val="000000"/>
        </w:rPr>
        <w:t>•</w:t>
      </w:r>
      <w:r>
        <w:rPr>
          <w:rFonts w:ascii="Open Sans;sans-serif" w:hAnsi="Open Sans;sans-serif"/>
          <w:b w:val="false"/>
          <w:i/>
          <w:color w:val="000000"/>
          <w:sz w:val="20"/>
        </w:rPr>
        <w:t>economic and industry trends, projected growth, or trend analysis;</w:t>
      </w:r>
    </w:p>
    <w:p>
      <w:pPr>
        <w:pStyle w:val="TextBody"/>
        <w:bidi w:val="0"/>
        <w:spacing w:lineRule="auto" w:line="288" w:before="60" w:after="283"/>
        <w:ind w:left="0" w:right="0" w:hanging="360"/>
        <w:jc w:val="both"/>
        <w:rPr/>
      </w:pPr>
      <w:r>
        <w:rPr>
          <w:color w:val="000000"/>
        </w:rPr>
        <w:t>•</w:t>
      </w:r>
      <w:r>
        <w:rPr>
          <w:rFonts w:ascii="Open Sans;sans-serif" w:hAnsi="Open Sans;sans-serif"/>
          <w:b w:val="false"/>
          <w:i/>
          <w:color w:val="000000"/>
          <w:sz w:val="20"/>
        </w:rPr>
        <w:t>the impact of political, social, and/or economic instability or military conflict;</w:t>
      </w:r>
    </w:p>
    <w:p>
      <w:pPr>
        <w:pStyle w:val="TextBody"/>
        <w:bidi w:val="0"/>
        <w:spacing w:lineRule="auto" w:line="288" w:before="60" w:after="283"/>
        <w:ind w:left="0" w:right="0" w:hanging="360"/>
        <w:jc w:val="both"/>
        <w:rPr/>
      </w:pPr>
      <w:r>
        <w:rPr>
          <w:color w:val="000000"/>
        </w:rPr>
        <w:t>•</w:t>
      </w:r>
      <w:r>
        <w:rPr>
          <w:rFonts w:ascii="Open Sans;sans-serif" w:hAnsi="Open Sans;sans-serif"/>
          <w:b w:val="false"/>
          <w:i/>
          <w:color w:val="000000"/>
          <w:sz w:val="20"/>
        </w:rPr>
        <w:t>our ability to develop and protect our brand;</w:t>
      </w:r>
    </w:p>
    <w:p>
      <w:pPr>
        <w:pStyle w:val="TextBody"/>
        <w:bidi w:val="0"/>
        <w:spacing w:lineRule="auto" w:line="288" w:before="60" w:after="283"/>
        <w:ind w:left="0" w:right="0" w:hanging="360"/>
        <w:jc w:val="left"/>
        <w:rPr/>
      </w:pPr>
      <w:r>
        <w:rPr>
          <w:color w:val="000000"/>
        </w:rPr>
        <w:t>•</w:t>
      </w:r>
      <w:r>
        <w:rPr>
          <w:rFonts w:ascii="Open Sans;sans-serif" w:hAnsi="Open Sans;sans-serif"/>
          <w:b w:val="false"/>
          <w:i/>
          <w:color w:val="000000"/>
          <w:sz w:val="20"/>
        </w:rPr>
        <w:t>changes or developments in laws and regulations and our ability to comply with laws and regulations;</w:t>
      </w:r>
    </w:p>
    <w:p>
      <w:pPr>
        <w:pStyle w:val="TextBody"/>
        <w:bidi w:val="0"/>
        <w:spacing w:lineRule="auto" w:line="288" w:before="60" w:after="283"/>
        <w:ind w:left="0" w:right="0" w:hanging="360"/>
        <w:jc w:val="both"/>
        <w:rPr/>
      </w:pPr>
      <w:r>
        <w:rPr>
          <w:color w:val="000000"/>
        </w:rPr>
        <w:t>•</w:t>
      </w:r>
      <w:r>
        <w:rPr>
          <w:rFonts w:ascii="Open Sans;sans-serif" w:hAnsi="Open Sans;sans-serif"/>
          <w:b w:val="false"/>
          <w:i/>
          <w:color w:val="000000"/>
          <w:sz w:val="20"/>
        </w:rPr>
        <w:t>our ability to successfully defend litigation brought against us;</w:t>
      </w:r>
    </w:p>
    <w:p>
      <w:pPr>
        <w:pStyle w:val="TextBody"/>
        <w:bidi w:val="0"/>
        <w:spacing w:lineRule="auto" w:line="288" w:before="60" w:after="283"/>
        <w:ind w:left="0" w:right="0" w:hanging="360"/>
        <w:jc w:val="both"/>
        <w:rPr/>
      </w:pPr>
      <w:r>
        <w:rPr>
          <w:color w:val="000000"/>
        </w:rPr>
        <w:t>•</w:t>
      </w:r>
      <w:r>
        <w:rPr>
          <w:rFonts w:ascii="Open Sans;sans-serif" w:hAnsi="Open Sans;sans-serif"/>
          <w:b w:val="false"/>
          <w:i/>
          <w:color w:val="000000"/>
          <w:sz w:val="20"/>
        </w:rPr>
        <w:t>our ability to attract and retain qualified employees and key personnel;</w:t>
      </w:r>
    </w:p>
    <w:p>
      <w:pPr>
        <w:pStyle w:val="TextBody"/>
        <w:bidi w:val="0"/>
        <w:spacing w:lineRule="auto" w:line="288" w:before="60" w:after="283"/>
        <w:ind w:left="0" w:right="0" w:hanging="360"/>
        <w:jc w:val="both"/>
        <w:rPr/>
      </w:pPr>
      <w:r>
        <w:rPr>
          <w:color w:val="000000"/>
        </w:rPr>
        <w:t>•</w:t>
      </w:r>
      <w:r>
        <w:rPr>
          <w:rFonts w:ascii="Open Sans;sans-serif" w:hAnsi="Open Sans;sans-serif"/>
          <w:b w:val="false"/>
          <w:i/>
          <w:color w:val="000000"/>
          <w:sz w:val="20"/>
        </w:rPr>
        <w:t>our ability to repurchase shares under authorized share repurchase programs and receive expected financial benefits; and</w:t>
      </w:r>
    </w:p>
    <w:p>
      <w:pPr>
        <w:pStyle w:val="TextBody"/>
        <w:bidi w:val="0"/>
        <w:spacing w:lineRule="auto" w:line="288" w:before="60" w:after="283"/>
        <w:ind w:left="0" w:right="0" w:hanging="360"/>
        <w:jc w:val="both"/>
        <w:rPr/>
      </w:pPr>
      <w:r>
        <w:rPr>
          <w:color w:val="000000"/>
        </w:rPr>
        <w:t>•</w:t>
      </w:r>
      <w:r>
        <w:rPr>
          <w:rFonts w:ascii="Open Sans;sans-serif" w:hAnsi="Open Sans;sans-serif"/>
          <w:b w:val="false"/>
          <w:i/>
          <w:color w:val="000000"/>
          <w:sz w:val="20"/>
        </w:rPr>
        <w:t>our ability to maintain effective disclosure controls and internal controls over financial reporting.</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7955"/>
                <wp:effectExtent l="0" t="0" r="0" b="0"/>
                <wp:wrapNone/>
                <wp:docPr id="3" name="Frame3"/>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Open Sans;sans-serif" w:hAnsi="Open Sans;sans-serif"/>
          <w:b w:val="false"/>
          <w:i/>
          <w:color w:val="000000"/>
          <w:sz w:val="20"/>
        </w:rPr>
      </w:pPr>
      <w:r>
        <w:rPr>
          <w:rFonts w:ascii="Open Sans;sans-serif" w:hAnsi="Open Sans;sans-serif"/>
          <w:b w:val="false"/>
          <w:i/>
          <w:color w:val="000000"/>
          <w:sz w:val="20"/>
        </w:rPr>
        <w:t>We caution you that the foregoing list may not contain all of the forward-looking statements made in this Quarterly Report on Form 10-Q. You should not rely upon forward-looking statements as predictions of future events. We have based the forward-looking statements contained in this Quarterly Report on Form 10-Q primarily on our current expectations and projections about future events and trends that we believe may affect our business, results of operations, financial condition, and prospects. The outcome of the events described in these forward-looking statements is subject to risks, uncertainties, and other factors described or incorporated by reference in the section titled “Risk Factors” in our most recently filed Annual Report on Form 10-K for the fiscal year ended December 31, 2025 (the “2025 Annual Report”), as may be updated from time to time by this Quarterly Report on Form 10-Q or other quarterly or periodic filings. Moreover, we operate in a very competitive and rapidly changing environment. New risks and uncertainties emerge from time to time, and it is not possible for us to predict all risks and uncertainties that could have an impact on the forward-looking statements contained in this Quarterly Report on Form 10-Q. The results, events, and circumstances reflected in the forward-looking statements may not be achieved or occur, and actual results, events, or circumstances could differ materially from those described in the forward-looking statements. 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 Unless otherwise indicated or unless the context requires otherwise, all references in this document to “Marqeta”, the “Company”, the “Registrant,” “we”, “us”, “our”, or similar references are to Marqeta, Inc. Capitalized terms used and not defined above are defined elsewhere within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7955"/>
                <wp:effectExtent l="0" t="0" r="0" b="0"/>
                <wp:wrapNone/>
                <wp:docPr id="4" name="Frame4"/>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86ce94018fb640d7903f0edbc68bd8af_7">
        <w:r>
          <w:rPr>
            <w:rStyle w:val="InternetLink"/>
            <w:rFonts w:ascii="Open Sans;sans-serif" w:hAnsi="Open Sans;sans-serif"/>
            <w:b w:val="false"/>
            <w:color w:val="0000FF"/>
            <w:sz w:val="18"/>
            <w:u w:val="single"/>
          </w:rPr>
          <w:t>Table of Contents</w:t>
        </w:r>
      </w:hyperlink>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Open Sans;sans-serif" w:hAnsi="Open Sans;sans-serif"/>
          <w:b/>
          <w:color w:val="000000"/>
          <w:sz w:val="20"/>
        </w:rPr>
      </w:pPr>
      <w:r>
        <w:rPr>
          <w:rFonts w:ascii="Open Sans;sans-serif" w:hAnsi="Open Sans;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Open Sans;sans-serif" w:hAnsi="Open Sans;sans-serif"/>
          <w:b/>
          <w:color w:val="000000"/>
          <w:sz w:val="20"/>
        </w:rPr>
      </w:pPr>
      <w:r>
        <w:rPr>
          <w:rFonts w:ascii="Open Sans;sans-serif" w:hAnsi="Open Sans;sans-serif"/>
          <w:b/>
          <w:color w:val="000000"/>
          <w:sz w:val="20"/>
        </w:rPr>
        <w:t>Marqeta, Inc.</w:t>
      </w:r>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Condensed Consolidated Balance Sheets</w:t>
      </w:r>
    </w:p>
    <w:p>
      <w:pPr>
        <w:pStyle w:val="TextBody"/>
        <w:bidi w:val="0"/>
        <w:spacing w:lineRule="auto" w:line="288" w:before="0" w:after="20"/>
        <w:jc w:val="center"/>
        <w:rPr>
          <w:rFonts w:ascii="Open Sans;sans-serif" w:hAnsi="Open Sans;sans-serif"/>
          <w:b/>
          <w:color w:val="000000"/>
          <w:sz w:val="16"/>
        </w:rPr>
      </w:pPr>
      <w:r>
        <w:rPr>
          <w:rFonts w:ascii="Open Sans;sans-serif" w:hAnsi="Open Sans;sans-serif"/>
          <w:b/>
          <w:color w:val="000000"/>
          <w:sz w:val="16"/>
        </w:rPr>
        <w:t>(in thousands, except per share amounts)</w:t>
      </w:r>
    </w:p>
    <w:p>
      <w:pPr>
        <w:pStyle w:val="TextBody"/>
        <w:bidi w:val="0"/>
        <w:spacing w:lineRule="auto" w:line="288" w:before="0" w:after="120"/>
        <w:jc w:val="center"/>
        <w:rPr>
          <w:rFonts w:ascii="Open Sans;sans-serif" w:hAnsi="Open Sans;sans-serif"/>
          <w:b/>
          <w:color w:val="000000"/>
          <w:sz w:val="16"/>
        </w:rPr>
      </w:pPr>
      <w:r>
        <w:rPr>
          <w:rFonts w:ascii="Open Sans;sans-serif" w:hAnsi="Open Sans;sans-serif"/>
          <w:b/>
          <w:color w:val="000000"/>
          <w:sz w:val="16"/>
        </w:rPr>
        <w:t>(unaudited)</w:t>
      </w:r>
    </w:p>
    <w:tbl>
      <w:tblPr>
        <w:tblW w:w="10205" w:type="dxa"/>
        <w:jc w:val="left"/>
        <w:tblInd w:w="0" w:type="dxa"/>
        <w:tblLayout w:type="fixed"/>
        <w:tblCellMar>
          <w:top w:w="28" w:type="dxa"/>
          <w:left w:w="28" w:type="dxa"/>
          <w:bottom w:w="28" w:type="dxa"/>
          <w:right w:w="28" w:type="dxa"/>
        </w:tblCellMar>
      </w:tblPr>
      <w:tblGrid>
        <w:gridCol w:w="2879"/>
        <w:gridCol w:w="2205"/>
        <w:gridCol w:w="2156"/>
        <w:gridCol w:w="211"/>
        <w:gridCol w:w="976"/>
        <w:gridCol w:w="109"/>
        <w:gridCol w:w="109"/>
        <w:gridCol w:w="109"/>
        <w:gridCol w:w="109"/>
        <w:gridCol w:w="211"/>
        <w:gridCol w:w="976"/>
        <w:gridCol w:w="155"/>
      </w:tblGrid>
      <w:tr>
        <w:trPr/>
        <w:tc>
          <w:tcPr>
            <w:tcW w:w="2879" w:type="dxa"/>
            <w:tcBorders/>
            <w:vAlign w:val="center"/>
          </w:tcPr>
          <w:p>
            <w:pPr>
              <w:pStyle w:val="TableContents"/>
              <w:bidi w:val="0"/>
              <w:spacing w:before="0" w:after="283"/>
              <w:jc w:val="left"/>
              <w:rPr>
                <w:sz w:val="4"/>
                <w:szCs w:val="4"/>
              </w:rPr>
            </w:pPr>
            <w:r>
              <w:rPr>
                <w:sz w:val="4"/>
                <w:szCs w:val="4"/>
              </w:rPr>
            </w:r>
          </w:p>
        </w:tc>
        <w:tc>
          <w:tcPr>
            <w:tcW w:w="2205" w:type="dxa"/>
            <w:tcBorders/>
            <w:vAlign w:val="center"/>
          </w:tcPr>
          <w:p>
            <w:pPr>
              <w:pStyle w:val="TableContents"/>
              <w:bidi w:val="0"/>
              <w:spacing w:before="0" w:after="283"/>
              <w:jc w:val="left"/>
              <w:rPr>
                <w:sz w:val="4"/>
                <w:szCs w:val="4"/>
              </w:rPr>
            </w:pPr>
            <w:r>
              <w:rPr>
                <w:sz w:val="4"/>
                <w:szCs w:val="4"/>
              </w:rPr>
            </w:r>
          </w:p>
        </w:tc>
        <w:tc>
          <w:tcPr>
            <w:tcW w:w="21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4"/>
              </w:rPr>
            </w:pPr>
            <w:r>
              <w:rPr>
                <w:rFonts w:ascii="Open Sans;sans-serif" w:hAnsi="Open Sans;sans-serif"/>
                <w:b/>
                <w:color w:val="000000"/>
                <w:sz w:val="14"/>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4"/>
              </w:rPr>
            </w:pPr>
            <w:r>
              <w:rPr>
                <w:rFonts w:ascii="Open Sans;sans-serif" w:hAnsi="Open Sans;sans-serif"/>
                <w:b/>
                <w:color w:val="000000"/>
                <w:sz w:val="14"/>
              </w:rPr>
              <w:t>December 31,</w:t>
              <w:br/>
              <w:t>2025</w:t>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7"/>
              </w:rPr>
            </w:pPr>
            <w:r>
              <w:rPr>
                <w:rFonts w:ascii="Open Sans;sans-serif" w:hAnsi="Open Sans;sans-serif"/>
                <w:b/>
                <w:color w:val="000000"/>
                <w:sz w:val="17"/>
              </w:rPr>
              <w:t>Assets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Current assets: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674,790 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709,443 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Restricted cash</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280,398 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307,593 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7"/>
              </w:rPr>
            </w:pPr>
            <w:r>
              <w:rPr>
                <w:rFonts w:ascii="Open Sans;sans-serif" w:hAnsi="Open Sans;sans-serif"/>
                <w:b w:val="false"/>
                <w:color w:val="000000"/>
                <w:sz w:val="17"/>
              </w:rPr>
              <w:t>Short-term investments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37,267 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62,483 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Accounts receivable,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45,893 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41,422 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7"/>
              </w:rPr>
            </w:pPr>
            <w:r>
              <w:rPr>
                <w:rFonts w:ascii="Open Sans;sans-serif" w:hAnsi="Open Sans;sans-serif"/>
                <w:b w:val="false"/>
                <w:color w:val="000000"/>
                <w:sz w:val="17"/>
              </w:rPr>
              <w:t>Network incentives receivable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79,869 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61,059 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Settlements receivable,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32,455 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18,037 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Prepaid expenses and other current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37,746 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35,278 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Total current assets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1,188,418 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1,235,315 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7"/>
              </w:rPr>
            </w:pPr>
            <w:r>
              <w:rPr>
                <w:rFonts w:ascii="Open Sans;sans-serif" w:hAnsi="Open Sans;sans-serif"/>
                <w:b w:val="false"/>
                <w:color w:val="000000"/>
                <w:sz w:val="17"/>
              </w:rPr>
              <w:t>Property and equipment,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63,919 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59,910 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7"/>
              </w:rPr>
            </w:pPr>
            <w:r>
              <w:rPr>
                <w:rFonts w:ascii="Open Sans;sans-serif" w:hAnsi="Open Sans;sans-serif"/>
                <w:b w:val="false"/>
                <w:color w:val="000000"/>
                <w:sz w:val="17"/>
              </w:rPr>
              <w:t>Operating lease right-of-use assets,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7,506 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8,275 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7"/>
              </w:rPr>
            </w:pPr>
            <w:r>
              <w:rPr>
                <w:rFonts w:ascii="Open Sans;sans-serif" w:hAnsi="Open Sans;sans-serif"/>
                <w:b w:val="false"/>
                <w:color w:val="000000"/>
                <w:sz w:val="17"/>
              </w:rPr>
              <w:t>Intangible assets,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48,406 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51,388 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Goodwill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153,962 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154,706 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Other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14,502 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15,439 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7"/>
              </w:rPr>
            </w:pPr>
            <w:r>
              <w:rPr>
                <w:rFonts w:ascii="Open Sans;sans-serif" w:hAnsi="Open Sans;sans-serif"/>
                <w:b/>
                <w:color w:val="000000"/>
                <w:sz w:val="17"/>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1,476,713 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1,525,033 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7"/>
              </w:rPr>
            </w:pPr>
            <w:r>
              <w:rPr>
                <w:rFonts w:ascii="Open Sans;sans-serif" w:hAnsi="Open Sans;sans-serif"/>
                <w:b/>
                <w:color w:val="000000"/>
                <w:sz w:val="17"/>
              </w:rPr>
              <w:t>Liabilities and stockholders’ equity</w:t>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Current liabilities: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789 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1,847 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Revenue share payable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260,144 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224,526 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120" w:after="283"/>
              <w:jc w:val="left"/>
              <w:rPr>
                <w:rFonts w:ascii="Open Sans;sans-serif" w:hAnsi="Open Sans;sans-serif"/>
                <w:b w:val="false"/>
                <w:color w:val="000000"/>
                <w:sz w:val="17"/>
              </w:rPr>
            </w:pPr>
            <w:r>
              <w:rPr>
                <w:rFonts w:ascii="Open Sans;sans-serif" w:hAnsi="Open Sans;sans-serif"/>
                <w:b w:val="false"/>
                <w:color w:val="000000"/>
                <w:sz w:val="17"/>
              </w:rPr>
              <w:t>Funds payable and amounts due to customers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280,298 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306,891 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Accrued expenses and other current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179,905 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215,793 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Total current liabilities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721,136 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749,057 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Operating lease liabilities, net of current portion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4,803 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5,535 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Other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8,492 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8,484 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Total liabilities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734,431 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763,076 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7"/>
              </w:rPr>
            </w:pPr>
            <w:r>
              <w:rPr>
                <w:rFonts w:ascii="Open Sans;sans-serif" w:hAnsi="Open Sans;sans-serif"/>
                <w:b w:val="false"/>
                <w:color w:val="000000"/>
                <w:sz w:val="17"/>
              </w:rPr>
              <w:t>Commitments and contingencies (Note 9)</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Stockholders’ equity:</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Open Sans;sans-serif" w:hAnsi="Open Sans;sans-serif"/>
                <w:b w:val="false"/>
                <w:color w:val="000000"/>
                <w:sz w:val="17"/>
              </w:rPr>
            </w:pPr>
            <w:r>
              <w:rPr>
                <w:rFonts w:ascii="Open Sans;sans-serif" w:hAnsi="Open Sans;sans-serif"/>
                <w:b w:val="false"/>
                <w:color w:val="000000"/>
                <w:sz w:val="17"/>
              </w:rPr>
              <w:t>Preferred stock, $0.0001 par value; 100,000 and 100,000 shares authorized, no shares issued and outstanding as of March 31, 2026 and December 31, 2025, respectively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Open Sans;sans-serif" w:hAnsi="Open Sans;sans-serif"/>
                <w:b w:val="false"/>
                <w:color w:val="000000"/>
                <w:sz w:val="17"/>
              </w:rPr>
            </w:pPr>
            <w:r>
              <w:rPr>
                <w:rFonts w:ascii="Open Sans;sans-serif" w:hAnsi="Open Sans;sans-serif"/>
                <w:b w:val="false"/>
                <w:color w:val="000000"/>
                <w:sz w:val="17"/>
              </w:rPr>
              <w:t>Common stock, $0.0001 par value: 1,500,000 and 1,500,000 Class A shares authorized, 392,940 and 399,392 shares issued and outstanding as of March 31, 2026 and December 31, 2025, respectively. 600,000 and 600,000 Class B shares authorized, 32,808 and 32,864 shares issued and outstanding as of March 31, 2026 and December 31, 2025, respectively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43 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Additional paid-in capital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1,546,548 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1,572,238 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7"/>
              </w:rPr>
            </w:pPr>
            <w:r>
              <w:rPr>
                <w:rFonts w:ascii="Open Sans;sans-serif" w:hAnsi="Open Sans;sans-serif"/>
                <w:b w:val="false"/>
                <w:color w:val="000000"/>
                <w:sz w:val="17"/>
              </w:rPr>
              <w:t>Accumulated other comprehensive (loss) income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(310)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1,509 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Accumulated deficit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(803,999)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(811,833)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Total stockholders’ equity</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742,282 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761,957 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7"/>
              </w:rPr>
            </w:pPr>
            <w:r>
              <w:rPr>
                <w:rFonts w:ascii="Open Sans;sans-serif" w:hAnsi="Open Sans;sans-serif"/>
                <w:b/>
                <w:color w:val="000000"/>
                <w:sz w:val="17"/>
              </w:rPr>
              <w:t>Total liabilities and stockholders’ equity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1,476,713 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1,525,033 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Open Sans;sans-serif" w:hAnsi="Open Sans;sans-serif"/>
          <w:b w:val="false"/>
          <w:color w:val="000000"/>
          <w:sz w:val="18"/>
        </w:rPr>
      </w:pPr>
      <w:r>
        <w:rPr>
          <w:rFonts w:ascii="Open Sans;sans-serif" w:hAnsi="Open Sans;sans-serif"/>
          <w:b w:val="false"/>
          <w:color w:val="000000"/>
          <w:sz w:val="18"/>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7955"/>
                <wp:effectExtent l="0" t="0" r="0" b="0"/>
                <wp:wrapNone/>
                <wp:docPr id="5" name="Frame5"/>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86ce94018fb640d7903f0edbc68bd8af_7">
        <w:r>
          <w:rPr>
            <w:rStyle w:val="InternetLink"/>
            <w:rFonts w:ascii="Open Sans;sans-serif" w:hAnsi="Open Sans;sans-serif"/>
            <w:b w:val="false"/>
            <w:color w:val="0000FF"/>
            <w:sz w:val="18"/>
            <w:u w:val="single"/>
          </w:rPr>
          <w:t>Table of Contents</w:t>
        </w:r>
      </w:hyperlink>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Marqeta, Inc.</w:t>
      </w:r>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Condensed Consolidated Statements of Operations and Comprehensive Income (Loss)</w:t>
      </w:r>
    </w:p>
    <w:p>
      <w:pPr>
        <w:pStyle w:val="TextBody"/>
        <w:bidi w:val="0"/>
        <w:spacing w:lineRule="auto" w:line="288" w:before="0" w:after="20"/>
        <w:jc w:val="center"/>
        <w:rPr>
          <w:rFonts w:ascii="Open Sans;sans-serif" w:hAnsi="Open Sans;sans-serif"/>
          <w:b/>
          <w:color w:val="000000"/>
          <w:sz w:val="16"/>
        </w:rPr>
      </w:pPr>
      <w:r>
        <w:rPr>
          <w:rFonts w:ascii="Open Sans;sans-serif" w:hAnsi="Open Sans;sans-serif"/>
          <w:b/>
          <w:color w:val="000000"/>
          <w:sz w:val="16"/>
        </w:rPr>
        <w:t>(in thousands, except per share amounts)</w:t>
      </w:r>
    </w:p>
    <w:p>
      <w:pPr>
        <w:pStyle w:val="TextBody"/>
        <w:bidi w:val="0"/>
        <w:spacing w:lineRule="auto" w:line="288" w:before="0" w:after="240"/>
        <w:jc w:val="center"/>
        <w:rPr>
          <w:rFonts w:ascii="Open Sans;sans-serif" w:hAnsi="Open Sans;sans-serif"/>
          <w:b/>
          <w:color w:val="000000"/>
          <w:sz w:val="16"/>
        </w:rPr>
      </w:pPr>
      <w:r>
        <w:rPr>
          <w:rFonts w:ascii="Open Sans;sans-serif" w:hAnsi="Open Sans;sans-serif"/>
          <w:b/>
          <w:color w:val="000000"/>
          <w:sz w:val="16"/>
        </w:rPr>
        <w:t>(unaudited)</w:t>
      </w:r>
    </w:p>
    <w:tbl>
      <w:tblPr>
        <w:tblW w:w="10205" w:type="dxa"/>
        <w:jc w:val="center"/>
        <w:tblInd w:w="0" w:type="dxa"/>
        <w:tblLayout w:type="fixed"/>
        <w:tblCellMar>
          <w:top w:w="28" w:type="dxa"/>
          <w:left w:w="28" w:type="dxa"/>
          <w:bottom w:w="28" w:type="dxa"/>
          <w:right w:w="28" w:type="dxa"/>
        </w:tblCellMar>
      </w:tblPr>
      <w:tblGrid>
        <w:gridCol w:w="2816"/>
        <w:gridCol w:w="2173"/>
        <w:gridCol w:w="2115"/>
        <w:gridCol w:w="211"/>
        <w:gridCol w:w="826"/>
        <w:gridCol w:w="109"/>
        <w:gridCol w:w="109"/>
        <w:gridCol w:w="109"/>
        <w:gridCol w:w="109"/>
        <w:gridCol w:w="211"/>
        <w:gridCol w:w="826"/>
        <w:gridCol w:w="109"/>
        <w:gridCol w:w="109"/>
        <w:gridCol w:w="109"/>
        <w:gridCol w:w="109"/>
        <w:gridCol w:w="155"/>
      </w:tblGrid>
      <w:tr>
        <w:trPr/>
        <w:tc>
          <w:tcPr>
            <w:tcW w:w="2816" w:type="dxa"/>
            <w:tcBorders/>
            <w:vAlign w:val="center"/>
          </w:tcPr>
          <w:p>
            <w:pPr>
              <w:pStyle w:val="TableContents"/>
              <w:bidi w:val="0"/>
              <w:spacing w:before="0" w:after="283"/>
              <w:jc w:val="left"/>
              <w:rPr>
                <w:sz w:val="4"/>
                <w:szCs w:val="4"/>
              </w:rPr>
            </w:pPr>
            <w:r>
              <w:rPr>
                <w:sz w:val="4"/>
                <w:szCs w:val="4"/>
              </w:rPr>
            </w:r>
          </w:p>
        </w:tc>
        <w:tc>
          <w:tcPr>
            <w:tcW w:w="2173" w:type="dxa"/>
            <w:tcBorders/>
            <w:vAlign w:val="center"/>
          </w:tcPr>
          <w:p>
            <w:pPr>
              <w:pStyle w:val="TableContents"/>
              <w:bidi w:val="0"/>
              <w:spacing w:before="0" w:after="283"/>
              <w:jc w:val="left"/>
              <w:rPr>
                <w:sz w:val="4"/>
                <w:szCs w:val="4"/>
              </w:rPr>
            </w:pPr>
            <w:r>
              <w:rPr>
                <w:sz w:val="4"/>
                <w:szCs w:val="4"/>
              </w:rPr>
            </w:r>
          </w:p>
        </w:tc>
        <w:tc>
          <w:tcPr>
            <w:tcW w:w="21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4"/>
              </w:rPr>
            </w:pPr>
            <w:r>
              <w:rPr>
                <w:rFonts w:ascii="Open Sans;sans-serif" w:hAnsi="Open Sans;sans-serif"/>
                <w:b/>
                <w:color w:val="000000"/>
                <w:sz w:val="14"/>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gridSpan w:val="2"/>
            <w:tcBorders/>
          </w:tcPr>
          <w:p>
            <w:pPr>
              <w:pStyle w:val="TableContents"/>
              <w:bidi w:val="0"/>
              <w:spacing w:before="0" w:after="283"/>
              <w:jc w:val="left"/>
              <w:rPr>
                <w:sz w:val="4"/>
                <w:szCs w:val="4"/>
              </w:rPr>
            </w:pPr>
            <w:r>
              <w:rPr>
                <w:sz w:val="4"/>
                <w:szCs w:val="4"/>
              </w:rPr>
            </w:r>
          </w:p>
        </w:tc>
      </w:tr>
      <w:tr>
        <w:trPr/>
        <w:tc>
          <w:tcPr>
            <w:tcW w:w="7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4"/>
              </w:rPr>
            </w:pPr>
            <w:r>
              <w:rPr>
                <w:rFonts w:ascii="Open Sans;sans-serif" w:hAnsi="Open Sans;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4"/>
              </w:rPr>
            </w:pPr>
            <w:r>
              <w:rPr>
                <w:rFonts w:ascii="Open Sans;sans-serif" w:hAnsi="Open Sans;sans-serif"/>
                <w:b/>
                <w:color w:val="000000"/>
                <w:sz w:val="14"/>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Net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165,798 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139,073 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Costs of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48,206 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40,394 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Gross profit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117,592 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98,679 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7"/>
              </w:rPr>
            </w:pPr>
            <w:r>
              <w:rPr>
                <w:rFonts w:ascii="Open Sans;sans-serif" w:hAnsi="Open Sans;sans-serif"/>
                <w:b w:val="false"/>
                <w:color w:val="000000"/>
                <w:sz w:val="17"/>
              </w:rPr>
              <w:t>Operating expenses: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Compensation and benefits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78,018 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86,050 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Technology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18,090 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14,811 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8,854 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5,331 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Professional services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4,631 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5,695 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Occupancy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917 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Marketing and advertising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469 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Other operating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3,566 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3,944 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0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Total operating expenses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115,498 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117,217 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7"/>
              </w:rPr>
            </w:pPr>
            <w:r>
              <w:rPr>
                <w:rFonts w:ascii="Open Sans;sans-serif" w:hAnsi="Open Sans;sans-serif"/>
                <w:b w:val="false"/>
                <w:color w:val="000000"/>
                <w:sz w:val="17"/>
              </w:rPr>
              <w:t>Income (loss) from operations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2,094 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(18,538)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7"/>
              </w:rPr>
            </w:pPr>
            <w:r>
              <w:rPr>
                <w:rFonts w:ascii="Open Sans;sans-serif" w:hAnsi="Open Sans;sans-serif"/>
                <w:b w:val="false"/>
                <w:color w:val="000000"/>
                <w:sz w:val="17"/>
              </w:rPr>
              <w:t>Other income,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5,933 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10,513 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7"/>
              </w:rPr>
            </w:pPr>
            <w:r>
              <w:rPr>
                <w:rFonts w:ascii="Open Sans;sans-serif" w:hAnsi="Open Sans;sans-serif"/>
                <w:b w:val="false"/>
                <w:color w:val="000000"/>
                <w:sz w:val="17"/>
              </w:rPr>
              <w:t>Income (loss) before income tax expense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8,027 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(8,025)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7"/>
              </w:rPr>
            </w:pPr>
            <w:r>
              <w:rPr>
                <w:rFonts w:ascii="Open Sans;sans-serif" w:hAnsi="Open Sans;sans-serif"/>
                <w:b w:val="false"/>
                <w:color w:val="000000"/>
                <w:sz w:val="17"/>
              </w:rPr>
              <w:t>Income tax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7"/>
              </w:rPr>
            </w:pPr>
            <w:r>
              <w:rPr>
                <w:rFonts w:ascii="Open Sans;sans-serif" w:hAnsi="Open Sans;sans-serif"/>
                <w:b w:val="false"/>
                <w:color w:val="000000"/>
                <w:sz w:val="17"/>
              </w:rPr>
              <w:t>Net income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7,834 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(8,260)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7"/>
              </w:rPr>
            </w:pPr>
            <w:r>
              <w:rPr>
                <w:rFonts w:ascii="Open Sans;sans-serif" w:hAnsi="Open Sans;sans-serif"/>
                <w:b w:val="false"/>
                <w:color w:val="000000"/>
                <w:sz w:val="17"/>
              </w:rPr>
              <w:t>Other comprehensive (loss) income, net of taxes: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Change in foreign currency translation adjustment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(1,646)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7"/>
              </w:rPr>
            </w:pPr>
            <w:r>
              <w:rPr>
                <w:rFonts w:ascii="Open Sans;sans-serif" w:hAnsi="Open Sans;sans-serif"/>
                <w:b w:val="false"/>
                <w:color w:val="000000"/>
                <w:sz w:val="17"/>
              </w:rPr>
              <w:t>Net change in unrealized loss on short-term investments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7"/>
              </w:rPr>
            </w:pPr>
            <w:r>
              <w:rPr>
                <w:rFonts w:ascii="Open Sans;sans-serif" w:hAnsi="Open Sans;sans-serif"/>
                <w:b w:val="false"/>
                <w:color w:val="000000"/>
                <w:sz w:val="17"/>
              </w:rPr>
              <w:t>Net other comprehensive (loss) income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(1,819)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7"/>
              </w:rPr>
            </w:pPr>
            <w:r>
              <w:rPr>
                <w:rFonts w:ascii="Open Sans;sans-serif" w:hAnsi="Open Sans;sans-serif"/>
                <w:b w:val="false"/>
                <w:color w:val="000000"/>
                <w:sz w:val="17"/>
              </w:rPr>
              <w:t>Comprehensive income (loss)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6,015 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(8,222)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color w:val="000000"/>
                <w:sz w:val="17"/>
              </w:rPr>
            </w:pPr>
            <w:r>
              <w:rPr>
                <w:rFonts w:ascii="Open Sans;sans-serif" w:hAnsi="Open Sans;sans-serif"/>
                <w:b/>
                <w:color w:val="000000"/>
                <w:sz w:val="17"/>
              </w:rPr>
              <w:t>Net income (loss) per share attributable to Class A and Class B common stockholders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7"/>
              </w:rPr>
            </w:pPr>
            <w:r>
              <w:rPr>
                <w:rFonts w:ascii="Open Sans;sans-serif" w:hAnsi="Open Sans;sans-serif"/>
                <w:b w:val="false"/>
                <w:color w:val="000000"/>
                <w:sz w:val="17"/>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(0.02)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7"/>
              </w:rPr>
            </w:pPr>
            <w:r>
              <w:rPr>
                <w:rFonts w:ascii="Open Sans;sans-serif" w:hAnsi="Open Sans;sans-serif"/>
                <w:b w:val="false"/>
                <w:color w:val="000000"/>
                <w:sz w:val="17"/>
              </w:rPr>
              <w:t>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(0.02)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color w:val="000000"/>
                <w:sz w:val="17"/>
              </w:rPr>
            </w:pPr>
            <w:r>
              <w:rPr>
                <w:rFonts w:ascii="Open Sans;sans-serif" w:hAnsi="Open Sans;sans-serif"/>
                <w:b/>
                <w:color w:val="000000"/>
                <w:sz w:val="17"/>
              </w:rPr>
              <w:t>Weighted-average shares used in computing net income (loss) per share attributable to Class A and Class B common stockholders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7"/>
              </w:rPr>
            </w:pPr>
            <w:r>
              <w:rPr>
                <w:rFonts w:ascii="Open Sans;sans-serif" w:hAnsi="Open Sans;sans-serif"/>
                <w:b w:val="false"/>
                <w:color w:val="000000"/>
                <w:sz w:val="17"/>
              </w:rPr>
              <w:t>Basic</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428,602 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501,222 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7"/>
              </w:rPr>
            </w:pPr>
            <w:r>
              <w:rPr>
                <w:rFonts w:ascii="Open Sans;sans-serif" w:hAnsi="Open Sans;sans-serif"/>
                <w:b w:val="false"/>
                <w:color w:val="000000"/>
                <w:sz w:val="17"/>
              </w:rPr>
              <w:t>Diluted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433,571 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501,222 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Open Sans;sans-serif" w:hAnsi="Open Sans;sans-serif"/>
          <w:b w:val="false"/>
          <w:color w:val="000000"/>
          <w:sz w:val="18"/>
        </w:rPr>
      </w:pPr>
      <w:r>
        <w:rPr>
          <w:rFonts w:ascii="Open Sans;sans-serif" w:hAnsi="Open Sans;sans-serif"/>
          <w:b w:val="false"/>
          <w:color w:val="000000"/>
          <w:sz w:val="18"/>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7955"/>
                <wp:effectExtent l="0" t="0" r="0" b="0"/>
                <wp:wrapNone/>
                <wp:docPr id="6" name="Frame6"/>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86ce94018fb640d7903f0edbc68bd8af_7">
        <w:r>
          <w:rPr>
            <w:rStyle w:val="InternetLink"/>
            <w:rFonts w:ascii="Open Sans;sans-serif" w:hAnsi="Open Sans;sans-serif"/>
            <w:b w:val="false"/>
            <w:color w:val="0000FF"/>
            <w:sz w:val="18"/>
            <w:u w:val="single"/>
          </w:rPr>
          <w:t>Table of Contents</w:t>
        </w:r>
      </w:hyperlink>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Marqeta, Inc.</w:t>
      </w:r>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Condensed Consolidated Statements of Stockholders' Equity</w:t>
      </w:r>
    </w:p>
    <w:p>
      <w:pPr>
        <w:pStyle w:val="TextBody"/>
        <w:bidi w:val="0"/>
        <w:spacing w:lineRule="auto" w:line="288" w:before="0" w:after="20"/>
        <w:jc w:val="center"/>
        <w:rPr>
          <w:rFonts w:ascii="Open Sans;sans-serif" w:hAnsi="Open Sans;sans-serif"/>
          <w:b/>
          <w:color w:val="000000"/>
          <w:sz w:val="16"/>
        </w:rPr>
      </w:pPr>
      <w:r>
        <w:rPr>
          <w:rFonts w:ascii="Open Sans;sans-serif" w:hAnsi="Open Sans;sans-serif"/>
          <w:b/>
          <w:color w:val="000000"/>
          <w:sz w:val="16"/>
        </w:rPr>
        <w:t>(in thousands)</w:t>
      </w:r>
    </w:p>
    <w:p>
      <w:pPr>
        <w:pStyle w:val="TextBody"/>
        <w:bidi w:val="0"/>
        <w:spacing w:lineRule="auto" w:line="288" w:before="0" w:after="240"/>
        <w:jc w:val="center"/>
        <w:rPr>
          <w:rFonts w:ascii="Open Sans;sans-serif" w:hAnsi="Open Sans;sans-serif"/>
          <w:b/>
          <w:color w:val="000000"/>
          <w:sz w:val="16"/>
        </w:rPr>
      </w:pPr>
      <w:r>
        <w:rPr>
          <w:rFonts w:ascii="Open Sans;sans-serif" w:hAnsi="Open Sans;sans-serif"/>
          <w:b/>
          <w:color w:val="000000"/>
          <w:sz w:val="16"/>
        </w:rPr>
        <w:t>(unaudited)</w:t>
      </w:r>
    </w:p>
    <w:tbl>
      <w:tblPr>
        <w:tblW w:w="10563" w:type="dxa"/>
        <w:jc w:val="center"/>
        <w:tblInd w:w="0" w:type="dxa"/>
        <w:tblLayout w:type="fixed"/>
        <w:tblCellMar>
          <w:top w:w="28" w:type="dxa"/>
          <w:left w:w="28" w:type="dxa"/>
          <w:bottom w:w="28" w:type="dxa"/>
          <w:right w:w="28" w:type="dxa"/>
        </w:tblCellMar>
      </w:tblPr>
      <w:tblGrid>
        <w:gridCol w:w="765"/>
        <w:gridCol w:w="330"/>
        <w:gridCol w:w="331"/>
        <w:gridCol w:w="413"/>
        <w:gridCol w:w="413"/>
        <w:gridCol w:w="246"/>
        <w:gridCol w:w="109"/>
        <w:gridCol w:w="109"/>
        <w:gridCol w:w="109"/>
        <w:gridCol w:w="260"/>
        <w:gridCol w:w="445"/>
        <w:gridCol w:w="136"/>
        <w:gridCol w:w="109"/>
        <w:gridCol w:w="109"/>
        <w:gridCol w:w="109"/>
        <w:gridCol w:w="211"/>
        <w:gridCol w:w="976"/>
        <w:gridCol w:w="109"/>
        <w:gridCol w:w="109"/>
        <w:gridCol w:w="109"/>
        <w:gridCol w:w="109"/>
        <w:gridCol w:w="345"/>
        <w:gridCol w:w="1007"/>
        <w:gridCol w:w="179"/>
        <w:gridCol w:w="109"/>
        <w:gridCol w:w="109"/>
        <w:gridCol w:w="109"/>
        <w:gridCol w:w="240"/>
        <w:gridCol w:w="956"/>
        <w:gridCol w:w="125"/>
        <w:gridCol w:w="109"/>
        <w:gridCol w:w="109"/>
        <w:gridCol w:w="109"/>
        <w:gridCol w:w="255"/>
        <w:gridCol w:w="999"/>
        <w:gridCol w:w="187"/>
      </w:tblGrid>
      <w:tr>
        <w:trPr/>
        <w:tc>
          <w:tcPr>
            <w:tcW w:w="765"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0"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Open Sans;sans-serif" w:hAnsi="Open Sans;sans-serif"/>
                <w:b/>
                <w:color w:val="000000"/>
                <w:sz w:val="16"/>
              </w:rPr>
            </w:pPr>
            <w:r>
              <w:rPr>
                <w:rFonts w:ascii="Open Sans;sans-serif" w:hAnsi="Open Sans;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Open Sans;sans-serif" w:hAnsi="Open Sans;sans-serif"/>
                <w:b/>
                <w:color w:val="000000"/>
                <w:sz w:val="16"/>
              </w:rPr>
            </w:pPr>
            <w:r>
              <w:rPr>
                <w:rFonts w:ascii="Open Sans;sans-serif" w:hAnsi="Open Sans;sans-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Open Sans;sans-serif" w:hAnsi="Open Sans;sans-serif"/>
                <w:b/>
                <w:color w:val="000000"/>
                <w:sz w:val="16"/>
              </w:rPr>
            </w:pPr>
            <w:r>
              <w:rPr>
                <w:rFonts w:ascii="Open Sans;sans-serif" w:hAnsi="Open Sans;sans-serif"/>
                <w:b/>
                <w:color w:val="000000"/>
                <w:sz w:val="16"/>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Open Sans;sans-serif" w:hAnsi="Open Sans;sans-serif"/>
                <w:b/>
                <w:color w:val="000000"/>
                <w:sz w:val="16"/>
              </w:rPr>
            </w:pPr>
            <w:r>
              <w:rPr>
                <w:rFonts w:ascii="Open Sans;sans-serif" w:hAnsi="Open Sans;sans-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Open Sans;sans-serif" w:hAnsi="Open Sans;sans-serif"/>
                <w:b/>
                <w:color w:val="000000"/>
                <w:sz w:val="16"/>
              </w:rPr>
            </w:pPr>
            <w:r>
              <w:rPr>
                <w:rFonts w:ascii="Open Sans;sans-serif" w:hAnsi="Open Sans;sans-serif"/>
                <w:b/>
                <w:color w:val="000000"/>
                <w:sz w:val="16"/>
              </w:rPr>
              <w:t>Total Stockholders’ Equity</w:t>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Open Sans;sans-serif" w:hAnsi="Open Sans;sans-serif"/>
                <w:b/>
                <w:color w:val="000000"/>
                <w:sz w:val="16"/>
              </w:rPr>
            </w:pPr>
            <w:r>
              <w:rPr>
                <w:rFonts w:ascii="Open Sans;sans-serif" w:hAnsi="Open Sans;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Open Sans;sans-serif" w:hAnsi="Open Sans;sans-serif"/>
                <w:b/>
                <w:color w:val="000000"/>
                <w:sz w:val="16"/>
              </w:rPr>
            </w:pPr>
            <w:r>
              <w:rPr>
                <w:rFonts w:ascii="Open Sans;sans-serif" w:hAnsi="Open Sans;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Balance as of December 31, 2025</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432,256 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4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43 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1,572,238 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10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1,509 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9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(811,833)</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9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761,957 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Repurchase and retirement of common stock, including excise tax</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(9,408)</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(39,575)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(39,575)</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Share-based compensation</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22,623 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22,623 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Issuance of common stock upon net settlement of restricted stock units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2,867 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(8,789)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(8,789)</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Issuance of common stock upon exercise of options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33 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51 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Change in accumulated other comprehensive income (loss)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(1,819)</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(1,819)</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Net income</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7,834 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7,834 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Balance as of March 31, 2026</w:t>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425,748 </w:t>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4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43 </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1,546,548 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10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(310)</w:t>
            </w:r>
          </w:p>
        </w:tc>
        <w:tc>
          <w:tcPr>
            <w:tcW w:w="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9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(803,999)</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9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742,282 </w:t>
            </w:r>
          </w:p>
        </w:tc>
        <w:tc>
          <w:tcPr>
            <w:tcW w:w="1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bl>
    <w:tbl>
      <w:tblPr>
        <w:tblW w:w="10563" w:type="dxa"/>
        <w:jc w:val="center"/>
        <w:tblInd w:w="0" w:type="dxa"/>
        <w:tblLayout w:type="fixed"/>
        <w:tblCellMar>
          <w:top w:w="28" w:type="dxa"/>
          <w:left w:w="28" w:type="dxa"/>
          <w:bottom w:w="28" w:type="dxa"/>
          <w:right w:w="28" w:type="dxa"/>
        </w:tblCellMar>
      </w:tblPr>
      <w:tblGrid>
        <w:gridCol w:w="765"/>
        <w:gridCol w:w="330"/>
        <w:gridCol w:w="331"/>
        <w:gridCol w:w="413"/>
        <w:gridCol w:w="413"/>
        <w:gridCol w:w="246"/>
        <w:gridCol w:w="109"/>
        <w:gridCol w:w="109"/>
        <w:gridCol w:w="109"/>
        <w:gridCol w:w="260"/>
        <w:gridCol w:w="445"/>
        <w:gridCol w:w="136"/>
        <w:gridCol w:w="109"/>
        <w:gridCol w:w="109"/>
        <w:gridCol w:w="109"/>
        <w:gridCol w:w="211"/>
        <w:gridCol w:w="976"/>
        <w:gridCol w:w="109"/>
        <w:gridCol w:w="109"/>
        <w:gridCol w:w="109"/>
        <w:gridCol w:w="109"/>
        <w:gridCol w:w="403"/>
        <w:gridCol w:w="919"/>
        <w:gridCol w:w="209"/>
        <w:gridCol w:w="109"/>
        <w:gridCol w:w="109"/>
        <w:gridCol w:w="109"/>
        <w:gridCol w:w="240"/>
        <w:gridCol w:w="956"/>
        <w:gridCol w:w="125"/>
        <w:gridCol w:w="109"/>
        <w:gridCol w:w="109"/>
        <w:gridCol w:w="109"/>
        <w:gridCol w:w="226"/>
        <w:gridCol w:w="1048"/>
        <w:gridCol w:w="167"/>
      </w:tblGrid>
      <w:tr>
        <w:trPr/>
        <w:tc>
          <w:tcPr>
            <w:tcW w:w="765"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Open Sans;sans-serif" w:hAnsi="Open Sans;sans-serif"/>
                <w:b/>
                <w:color w:val="000000"/>
                <w:sz w:val="16"/>
              </w:rPr>
            </w:pPr>
            <w:r>
              <w:rPr>
                <w:rFonts w:ascii="Open Sans;sans-serif" w:hAnsi="Open Sans;sans-serif"/>
                <w:b/>
                <w:color w:val="000000"/>
                <w:sz w:val="16"/>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Open Sans;sans-serif" w:hAnsi="Open Sans;sans-serif"/>
                <w:b/>
                <w:color w:val="000000"/>
                <w:sz w:val="16"/>
              </w:rPr>
            </w:pPr>
            <w:r>
              <w:rPr>
                <w:rFonts w:ascii="Open Sans;sans-serif" w:hAnsi="Open Sans;sans-serif"/>
                <w:b/>
                <w:color w:val="000000"/>
                <w:sz w:val="16"/>
              </w:rPr>
              <w:t>Total Stockholders’ Equity</w:t>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Balance as of December 31, 2024</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504,296 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4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50 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1,883,190 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9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(314)</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9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(797,908)</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10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1,085,018 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Repurchase and retirement of common stock, including excise tax</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(26,225)</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(112,314)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(112,316)</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Share-based compensation</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28,437 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28,437 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Issuance of common stock upon net settlement of restricted stock units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2,527 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(7,101)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(7,101)</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Issuance of common stock upon exercise of options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380 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1,444 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1,444 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Change in accumulated other comprehensive loss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38 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38 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Net loss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(8,260)</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(8,260)</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Balance as of March 31, 2025</w:t>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480,978 </w:t>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4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48 </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1,793,656 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9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(276)</w:t>
            </w:r>
          </w:p>
        </w:tc>
        <w:tc>
          <w:tcPr>
            <w:tcW w:w="2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9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(806,168)</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10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987,260 </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7955"/>
                <wp:effectExtent l="0" t="0" r="0" b="0"/>
                <wp:wrapNone/>
                <wp:docPr id="7" name="Frame7"/>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86ce94018fb640d7903f0edbc68bd8af_7">
        <w:r>
          <w:rPr>
            <w:rStyle w:val="InternetLink"/>
            <w:rFonts w:ascii="Open Sans;sans-serif" w:hAnsi="Open Sans;sans-serif"/>
            <w:b w:val="false"/>
            <w:color w:val="0000FF"/>
            <w:sz w:val="18"/>
            <w:u w:val="single"/>
          </w:rPr>
          <w:t>Table of Contents</w:t>
        </w:r>
      </w:hyperlink>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Marqeta, Inc.</w:t>
      </w:r>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Condensed Consolidated Statements of Cash Flows</w:t>
      </w:r>
    </w:p>
    <w:p>
      <w:pPr>
        <w:pStyle w:val="TextBody"/>
        <w:bidi w:val="0"/>
        <w:spacing w:lineRule="auto" w:line="288" w:before="0" w:after="20"/>
        <w:jc w:val="center"/>
        <w:rPr>
          <w:rFonts w:ascii="Open Sans;sans-serif" w:hAnsi="Open Sans;sans-serif"/>
          <w:b/>
          <w:color w:val="000000"/>
          <w:sz w:val="16"/>
        </w:rPr>
      </w:pPr>
      <w:r>
        <w:rPr>
          <w:rFonts w:ascii="Open Sans;sans-serif" w:hAnsi="Open Sans;sans-serif"/>
          <w:b/>
          <w:color w:val="000000"/>
          <w:sz w:val="16"/>
        </w:rPr>
        <w:t>(in thousands)</w:t>
      </w:r>
    </w:p>
    <w:p>
      <w:pPr>
        <w:pStyle w:val="TextBody"/>
        <w:bidi w:val="0"/>
        <w:spacing w:lineRule="auto" w:line="288" w:before="0" w:after="120"/>
        <w:jc w:val="center"/>
        <w:rPr>
          <w:rFonts w:ascii="Open Sans;sans-serif" w:hAnsi="Open Sans;sans-serif"/>
          <w:b/>
          <w:color w:val="000000"/>
          <w:sz w:val="16"/>
        </w:rPr>
      </w:pPr>
      <w:r>
        <w:rPr>
          <w:rFonts w:ascii="Open Sans;sans-serif" w:hAnsi="Open Sans;sans-serif"/>
          <w:b/>
          <w:color w:val="000000"/>
          <w:sz w:val="16"/>
        </w:rPr>
        <w:t>(unaudited)</w:t>
      </w:r>
    </w:p>
    <w:tbl>
      <w:tblPr>
        <w:tblW w:w="10205" w:type="dxa"/>
        <w:jc w:val="center"/>
        <w:tblInd w:w="0" w:type="dxa"/>
        <w:tblLayout w:type="fixed"/>
        <w:tblCellMar>
          <w:top w:w="28" w:type="dxa"/>
          <w:left w:w="28" w:type="dxa"/>
          <w:bottom w:w="28" w:type="dxa"/>
          <w:right w:w="28" w:type="dxa"/>
        </w:tblCellMar>
      </w:tblPr>
      <w:tblGrid>
        <w:gridCol w:w="2802"/>
        <w:gridCol w:w="2364"/>
        <w:gridCol w:w="2373"/>
        <w:gridCol w:w="211"/>
        <w:gridCol w:w="826"/>
        <w:gridCol w:w="109"/>
        <w:gridCol w:w="109"/>
        <w:gridCol w:w="109"/>
        <w:gridCol w:w="109"/>
        <w:gridCol w:w="211"/>
        <w:gridCol w:w="826"/>
        <w:gridCol w:w="156"/>
      </w:tblGrid>
      <w:tr>
        <w:trPr/>
        <w:tc>
          <w:tcPr>
            <w:tcW w:w="2802" w:type="dxa"/>
            <w:tcBorders/>
            <w:vAlign w:val="center"/>
          </w:tcPr>
          <w:p>
            <w:pPr>
              <w:pStyle w:val="TableContents"/>
              <w:bidi w:val="0"/>
              <w:spacing w:before="0" w:after="283"/>
              <w:jc w:val="left"/>
              <w:rPr>
                <w:sz w:val="4"/>
                <w:szCs w:val="4"/>
              </w:rPr>
            </w:pPr>
            <w:r>
              <w:rPr>
                <w:sz w:val="4"/>
                <w:szCs w:val="4"/>
              </w:rPr>
            </w:r>
          </w:p>
        </w:tc>
        <w:tc>
          <w:tcPr>
            <w:tcW w:w="2364" w:type="dxa"/>
            <w:tcBorders/>
            <w:vAlign w:val="center"/>
          </w:tcPr>
          <w:p>
            <w:pPr>
              <w:pStyle w:val="TableContents"/>
              <w:bidi w:val="0"/>
              <w:spacing w:before="0" w:after="283"/>
              <w:jc w:val="left"/>
              <w:rPr>
                <w:sz w:val="4"/>
                <w:szCs w:val="4"/>
              </w:rPr>
            </w:pPr>
            <w:r>
              <w:rPr>
                <w:sz w:val="4"/>
                <w:szCs w:val="4"/>
              </w:rPr>
            </w:r>
          </w:p>
        </w:tc>
        <w:tc>
          <w:tcPr>
            <w:tcW w:w="23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4"/>
              </w:rPr>
            </w:pPr>
            <w:r>
              <w:rPr>
                <w:rFonts w:ascii="Open Sans;sans-serif" w:hAnsi="Open Sans;sans-serif"/>
                <w:b/>
                <w:color w:val="000000"/>
                <w:sz w:val="14"/>
              </w:rPr>
              <w:t>Three Months Ended March 31,</w:t>
            </w:r>
          </w:p>
        </w:tc>
      </w:tr>
      <w:tr>
        <w:trPr/>
        <w:tc>
          <w:tcPr>
            <w:tcW w:w="7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4"/>
              </w:rPr>
            </w:pPr>
            <w:r>
              <w:rPr>
                <w:rFonts w:ascii="Open Sans;sans-serif" w:hAnsi="Open Sans;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4"/>
              </w:rPr>
            </w:pPr>
            <w:r>
              <w:rPr>
                <w:rFonts w:ascii="Open Sans;sans-serif" w:hAnsi="Open Sans;sans-serif"/>
                <w:b/>
                <w:color w:val="000000"/>
                <w:sz w:val="14"/>
              </w:rPr>
              <w:t>2025</w:t>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7"/>
              </w:rPr>
            </w:pPr>
            <w:r>
              <w:rPr>
                <w:rFonts w:ascii="Open Sans;sans-serif" w:hAnsi="Open Sans;sans-serif"/>
                <w:b/>
                <w:color w:val="000000"/>
                <w:sz w:val="17"/>
              </w:rPr>
              <w:t>Cash flows from operating activities: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7"/>
              </w:rPr>
            </w:pPr>
            <w:r>
              <w:rPr>
                <w:rFonts w:ascii="Open Sans;sans-serif" w:hAnsi="Open Sans;sans-serif"/>
                <w:b w:val="false"/>
                <w:color w:val="000000"/>
                <w:sz w:val="17"/>
              </w:rPr>
              <w:t>Net income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7,834 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(8,260)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7"/>
              </w:rPr>
            </w:pPr>
            <w:r>
              <w:rPr>
                <w:rFonts w:ascii="Open Sans;sans-serif" w:hAnsi="Open Sans;sans-serif"/>
                <w:b w:val="false"/>
                <w:color w:val="000000"/>
                <w:sz w:val="17"/>
              </w:rPr>
              <w:t>Adjustments to reconcile net income (loss) to net cash (used in) provided by operating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8,854 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5,331 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Share-based compensation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20,017 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25,915 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Non-cash operating leases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769 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535 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7"/>
              </w:rPr>
            </w:pPr>
            <w:r>
              <w:rPr>
                <w:rFonts w:ascii="Open Sans;sans-serif" w:hAnsi="Open Sans;sans-serif"/>
                <w:b w:val="false"/>
                <w:color w:val="000000"/>
                <w:sz w:val="17"/>
              </w:rPr>
              <w:t>Accretion of discount on short-term investments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(396)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(671)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364 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Changes in operating assets and liabilities: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Accounts receivable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(4,631)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1,312 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Network incentives receivable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(18,810)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1,836 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Settlements receivable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(14,418)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1,795 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Prepaid expenses and other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(1,531)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(2,543)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Accounts payable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(1,058)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1,023 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Revenue share payable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35,618 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16,016 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Accrued expenses and other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(34,115)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(31,837)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Operating lease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(1,191)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(1,104)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7"/>
              </w:rPr>
            </w:pPr>
            <w:r>
              <w:rPr>
                <w:rFonts w:ascii="Open Sans;sans-serif" w:hAnsi="Open Sans;sans-serif"/>
                <w:b w:val="false"/>
                <w:color w:val="000000"/>
                <w:sz w:val="17"/>
              </w:rPr>
              <w:t>Net cash (used in) provided by operating activities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(3,367)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9,987 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7"/>
              </w:rPr>
            </w:pPr>
            <w:r>
              <w:rPr>
                <w:rFonts w:ascii="Open Sans;sans-serif" w:hAnsi="Open Sans;sans-serif"/>
                <w:b/>
                <w:color w:val="000000"/>
                <w:sz w:val="17"/>
              </w:rPr>
              <w:t>Cash flows from investing activities: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Maturities of short-term investments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25,134 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22,186 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Capitalization of internal-use software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(7,798)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(6,059)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Purchases of property and equipment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(1,279)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(1,266)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7"/>
              </w:rPr>
            </w:pPr>
            <w:r>
              <w:rPr>
                <w:rFonts w:ascii="Open Sans;sans-serif" w:hAnsi="Open Sans;sans-serif"/>
                <w:b w:val="false"/>
                <w:color w:val="000000"/>
                <w:sz w:val="17"/>
              </w:rPr>
              <w:t>Net cash provided by investing activities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16,057 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14,861 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7"/>
              </w:rPr>
            </w:pPr>
            <w:r>
              <w:rPr>
                <w:rFonts w:ascii="Open Sans;sans-serif" w:hAnsi="Open Sans;sans-serif"/>
                <w:b/>
                <w:color w:val="000000"/>
                <w:sz w:val="17"/>
              </w:rPr>
              <w:t>Cash flows from financing activities: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Repurchase of common stock</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(39,207)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(111,310)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7"/>
              </w:rPr>
            </w:pPr>
            <w:r>
              <w:rPr>
                <w:rFonts w:ascii="Open Sans;sans-serif" w:hAnsi="Open Sans;sans-serif"/>
                <w:b w:val="false"/>
                <w:color w:val="000000"/>
                <w:sz w:val="17"/>
              </w:rPr>
              <w:t>Change in funds payable and amounts due to customers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(26,593)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Taxes paid related to net share settlement of restricted stock units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(8,789)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(7,101)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Proceeds from exercise of stock options, including early exercised stock options, net of repurchase of early exercised unvested options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1,444 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Net cash used in financing activities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(74,538)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(116,967)</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7"/>
              </w:rPr>
            </w:pPr>
            <w:r>
              <w:rPr>
                <w:rFonts w:ascii="Open Sans;sans-serif" w:hAnsi="Open Sans;sans-serif"/>
                <w:b w:val="false"/>
                <w:color w:val="000000"/>
                <w:sz w:val="17"/>
              </w:rPr>
              <w:t>Net decrease in cash, cash equivalents, and restricted cash</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(61,848)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(92,119)</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Cash, cash equivalents, and restricted cash- Beginning of period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1,017,931 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931,516 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Cash, cash equivalents, and restricted cash - End of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956,083 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839,397 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Open Sans;sans-serif" w:hAnsi="Open Sans;sans-serif"/>
          <w:b w:val="false"/>
          <w:color w:val="000000"/>
          <w:sz w:val="18"/>
        </w:rPr>
      </w:pPr>
      <w:r>
        <w:rPr>
          <w:rFonts w:ascii="Open Sans;sans-serif" w:hAnsi="Open Sans;sans-serif"/>
          <w:b w:val="false"/>
          <w:color w:val="000000"/>
          <w:sz w:val="18"/>
        </w:rPr>
        <w:t>See accompanying notes to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7955"/>
                <wp:effectExtent l="0" t="0" r="0" b="0"/>
                <wp:wrapNone/>
                <wp:docPr id="8" name="Frame8"/>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86ce94018fb640d7903f0edbc68bd8af_7">
        <w:r>
          <w:rPr>
            <w:rStyle w:val="InternetLink"/>
            <w:rFonts w:ascii="Open Sans;sans-serif" w:hAnsi="Open Sans;sans-serif"/>
            <w:b w:val="false"/>
            <w:color w:val="0000FF"/>
            <w:sz w:val="18"/>
            <w:u w:val="single"/>
          </w:rPr>
          <w:t>Table of Contents</w:t>
        </w:r>
      </w:hyperlink>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Marqeta, Inc.</w:t>
      </w:r>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Condensed Consolidated Statements of Cash Flows</w:t>
      </w:r>
    </w:p>
    <w:p>
      <w:pPr>
        <w:pStyle w:val="TextBody"/>
        <w:bidi w:val="0"/>
        <w:spacing w:lineRule="auto" w:line="288" w:before="0" w:after="20"/>
        <w:jc w:val="center"/>
        <w:rPr>
          <w:rFonts w:ascii="Open Sans;sans-serif" w:hAnsi="Open Sans;sans-serif"/>
          <w:b/>
          <w:color w:val="000000"/>
          <w:sz w:val="16"/>
        </w:rPr>
      </w:pPr>
      <w:r>
        <w:rPr>
          <w:rFonts w:ascii="Open Sans;sans-serif" w:hAnsi="Open Sans;sans-serif"/>
          <w:b/>
          <w:color w:val="000000"/>
          <w:sz w:val="16"/>
        </w:rPr>
        <w:t>(in thousands)</w:t>
      </w:r>
    </w:p>
    <w:p>
      <w:pPr>
        <w:pStyle w:val="TextBody"/>
        <w:bidi w:val="0"/>
        <w:spacing w:lineRule="auto" w:line="288" w:before="0" w:after="240"/>
        <w:jc w:val="center"/>
        <w:rPr>
          <w:rFonts w:ascii="Open Sans;sans-serif" w:hAnsi="Open Sans;sans-serif"/>
          <w:b/>
          <w:color w:val="000000"/>
          <w:sz w:val="16"/>
        </w:rPr>
      </w:pPr>
      <w:r>
        <w:rPr>
          <w:rFonts w:ascii="Open Sans;sans-serif" w:hAnsi="Open Sans;sans-serif"/>
          <w:b/>
          <w:color w:val="000000"/>
          <w:sz w:val="16"/>
        </w:rPr>
        <w:t>(unaudited)</w:t>
      </w:r>
    </w:p>
    <w:tbl>
      <w:tblPr>
        <w:tblW w:w="9623" w:type="dxa"/>
        <w:jc w:val="center"/>
        <w:tblInd w:w="0" w:type="dxa"/>
        <w:tblLayout w:type="fixed"/>
        <w:tblCellMar>
          <w:top w:w="28" w:type="dxa"/>
          <w:left w:w="28" w:type="dxa"/>
          <w:bottom w:w="28" w:type="dxa"/>
          <w:right w:w="28" w:type="dxa"/>
        </w:tblCellMar>
      </w:tblPr>
      <w:tblGrid>
        <w:gridCol w:w="2518"/>
        <w:gridCol w:w="2218"/>
        <w:gridCol w:w="2223"/>
        <w:gridCol w:w="211"/>
        <w:gridCol w:w="826"/>
        <w:gridCol w:w="109"/>
        <w:gridCol w:w="109"/>
        <w:gridCol w:w="109"/>
        <w:gridCol w:w="109"/>
        <w:gridCol w:w="211"/>
        <w:gridCol w:w="826"/>
        <w:gridCol w:w="154"/>
      </w:tblGrid>
      <w:tr>
        <w:trPr/>
        <w:tc>
          <w:tcPr>
            <w:tcW w:w="2518" w:type="dxa"/>
            <w:tcBorders/>
            <w:vAlign w:val="center"/>
          </w:tcPr>
          <w:p>
            <w:pPr>
              <w:pStyle w:val="TableContents"/>
              <w:bidi w:val="0"/>
              <w:spacing w:before="0" w:after="283"/>
              <w:jc w:val="left"/>
              <w:rPr>
                <w:sz w:val="4"/>
                <w:szCs w:val="4"/>
              </w:rPr>
            </w:pPr>
            <w:r>
              <w:rPr>
                <w:sz w:val="4"/>
                <w:szCs w:val="4"/>
              </w:rPr>
            </w:r>
          </w:p>
        </w:tc>
        <w:tc>
          <w:tcPr>
            <w:tcW w:w="2218"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4"/>
              </w:rPr>
            </w:pPr>
            <w:r>
              <w:rPr>
                <w:rFonts w:ascii="Open Sans;sans-serif" w:hAnsi="Open Sans;sans-serif"/>
                <w:b/>
                <w:color w:val="000000"/>
                <w:sz w:val="14"/>
              </w:rPr>
              <w:t>Three Months Ended March 31,</w:t>
            </w:r>
          </w:p>
        </w:tc>
      </w:tr>
      <w:tr>
        <w:trPr/>
        <w:tc>
          <w:tcPr>
            <w:tcW w:w="6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4"/>
              </w:rPr>
            </w:pPr>
            <w:r>
              <w:rPr>
                <w:rFonts w:ascii="Open Sans;sans-serif" w:hAnsi="Open Sans;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4"/>
              </w:rPr>
            </w:pPr>
            <w:r>
              <w:rPr>
                <w:rFonts w:ascii="Open Sans;sans-serif" w:hAnsi="Open Sans;sans-serif"/>
                <w:b/>
                <w:color w:val="000000"/>
                <w:sz w:val="14"/>
              </w:rPr>
              <w:t>2025</w:t>
            </w:r>
          </w:p>
        </w:tc>
      </w:tr>
      <w:tr>
        <w:trPr/>
        <w:tc>
          <w:tcPr>
            <w:tcW w:w="6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7"/>
              </w:rPr>
            </w:pPr>
            <w:r>
              <w:rPr>
                <w:rFonts w:ascii="Open Sans;sans-serif" w:hAnsi="Open Sans;sans-serif"/>
                <w:b/>
                <w:color w:val="000000"/>
                <w:sz w:val="17"/>
              </w:rPr>
              <w:t>Reconciliation of cash, cash equivalents, and restricted cash</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674,790 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830,897 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Restricted cash</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280,398 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8,500 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7"/>
              </w:rPr>
            </w:pPr>
            <w:r>
              <w:rPr>
                <w:rFonts w:ascii="Open Sans;sans-serif" w:hAnsi="Open Sans;sans-serif"/>
                <w:b w:val="false"/>
                <w:color w:val="000000"/>
                <w:sz w:val="17"/>
              </w:rPr>
              <w:t>Restricted cash, included in Other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895 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Total cash, cash equivalents, and restricted cash</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956,083 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839,397 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95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95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95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7"/>
              </w:rPr>
            </w:pPr>
            <w:r>
              <w:rPr>
                <w:rFonts w:ascii="Open Sans;sans-serif" w:hAnsi="Open Sans;sans-serif"/>
                <w:b/>
                <w:color w:val="000000"/>
                <w:sz w:val="17"/>
              </w:rPr>
              <w:t>Supplemental disclosures of non-cash investing and financing activities:</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7"/>
              </w:rPr>
            </w:pPr>
            <w:r>
              <w:rPr>
                <w:rFonts w:ascii="Open Sans;sans-serif" w:hAnsi="Open Sans;sans-serif"/>
                <w:b w:val="false"/>
                <w:color w:val="000000"/>
                <w:sz w:val="17"/>
              </w:rPr>
              <w:t>Contingent and holdback considerations, not yet paid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5,026 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Repurchase of common stock, including excise tax, accrued and not yet paid</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3,874 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1,006 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Share-based compensation capitalized to internal-use software</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2,606 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2,522 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Purchase of property and equipment accrued and not yet paid</w:t>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w:t>
            </w:r>
          </w:p>
        </w:tc>
        <w:tc>
          <w:tcPr>
            <w:tcW w:w="8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87 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w:t>
            </w:r>
          </w:p>
        </w:tc>
        <w:tc>
          <w:tcPr>
            <w:tcW w:w="8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1,142 </w:t>
            </w:r>
          </w:p>
        </w:tc>
        <w:tc>
          <w:tcPr>
            <w:tcW w:w="1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95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Open Sans;sans-serif" w:hAnsi="Open Sans;sans-serif"/>
          <w:b w:val="false"/>
          <w:color w:val="000000"/>
          <w:sz w:val="18"/>
        </w:rPr>
      </w:pPr>
      <w:r>
        <w:rPr>
          <w:rFonts w:ascii="Open Sans;sans-serif" w:hAnsi="Open Sans;sans-serif"/>
          <w:b w:val="false"/>
          <w:color w:val="000000"/>
          <w:sz w:val="18"/>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7955"/>
                <wp:effectExtent l="0" t="0" r="0" b="0"/>
                <wp:wrapNone/>
                <wp:docPr id="9" name="Frame9"/>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9</w:t>
                      </w:r>
                    </w:p>
                  </w:txbxContent>
                </v:textbox>
                <w10:wrap type="none"/>
              </v:rect>
            </w:pict>
          </mc:Fallback>
        </mc:AlternateContent>
      </w:r>
    </w:p>
    <w:p>
      <w:pPr>
        <w:pStyle w:val="TextBody"/>
        <w:bidi w:val="0"/>
        <w:spacing w:lineRule="auto" w:line="288" w:before="0" w:after="60"/>
        <w:jc w:val="left"/>
        <w:rPr/>
      </w:pPr>
      <w:hyperlink w:anchor="i86ce94018fb640d7903f0edbc68bd8af_7">
        <w:r>
          <w:rPr>
            <w:rStyle w:val="InternetLink"/>
            <w:rFonts w:ascii="Open Sans;sans-serif" w:hAnsi="Open Sans;sans-serif"/>
            <w:b w:val="false"/>
            <w:color w:val="0000FF"/>
            <w:sz w:val="18"/>
            <w:u w:val="single"/>
          </w:rPr>
          <w:t>Table of Contents</w:t>
        </w:r>
      </w:hyperlink>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Marqeta, Inc.</w:t>
      </w:r>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Notes to Condensed Consolidated Financial Statements</w:t>
      </w:r>
    </w:p>
    <w:p>
      <w:pPr>
        <w:pStyle w:val="TextBody"/>
        <w:bidi w:val="0"/>
        <w:spacing w:lineRule="auto" w:line="288" w:before="0" w:after="0"/>
        <w:jc w:val="center"/>
        <w:rPr>
          <w:rFonts w:ascii="Open Sans;sans-serif" w:hAnsi="Open Sans;sans-serif"/>
          <w:b/>
          <w:color w:val="000000"/>
          <w:sz w:val="16"/>
        </w:rPr>
      </w:pPr>
      <w:r>
        <w:rPr>
          <w:rFonts w:ascii="Open Sans;sans-serif" w:hAnsi="Open Sans;sans-serif"/>
          <w:b/>
          <w:color w:val="000000"/>
          <w:sz w:val="16"/>
        </w:rPr>
        <w:t>(Tabular Amounts in Thousands, Except Per Share Amounts, Ratios, or as Noted)</w:t>
      </w:r>
    </w:p>
    <w:p>
      <w:pPr>
        <w:pStyle w:val="TextBody"/>
        <w:bidi w:val="0"/>
        <w:spacing w:lineRule="auto" w:line="288" w:before="0" w:after="0"/>
        <w:jc w:val="center"/>
        <w:rPr>
          <w:rFonts w:ascii="Open Sans;sans-serif" w:hAnsi="Open Sans;sans-serif"/>
          <w:b/>
          <w:color w:val="000000"/>
          <w:sz w:val="16"/>
        </w:rPr>
      </w:pPr>
      <w:r>
        <w:rPr>
          <w:rFonts w:ascii="Open Sans;sans-serif" w:hAnsi="Open Sans;sans-serif"/>
          <w:b/>
          <w:color w:val="000000"/>
          <w:sz w:val="16"/>
        </w:rPr>
        <w:t>(unaudited)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Open Sans;sans-serif" w:hAnsi="Open Sans;sans-serif"/>
          <w:b/>
          <w:color w:val="000000"/>
          <w:sz w:val="20"/>
        </w:rPr>
      </w:pPr>
      <w:r>
        <w:rPr>
          <w:rFonts w:ascii="Open Sans;sans-serif" w:hAnsi="Open Sans;sans-serif"/>
          <w:b/>
          <w:color w:val="000000"/>
          <w:sz w:val="20"/>
        </w:rPr>
        <w:t>1.    Business Overview and Basis of Presentation</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Marqeta, Inc. (“the Company”) was incorporated in the state of Delaware in 2010 and creates digital payment technology for innovation leaders. The Company's modern card issuing platform empowers its customers to create customized and innovative payment card programs, giving them the configurability and flexibility to build better payment experiences.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The Company provides all of its customers issuer processor services and for most of its customers it also acts as a card program manager. The Company primarily earns revenue from processing card transactions for its customers.</w:t>
      </w:r>
    </w:p>
    <w:p>
      <w:pPr>
        <w:pStyle w:val="TextBody"/>
        <w:bidi w:val="0"/>
        <w:spacing w:lineRule="auto" w:line="288" w:before="180" w:after="283"/>
        <w:jc w:val="both"/>
        <w:rPr>
          <w:rFonts w:ascii="Open Sans;sans-serif" w:hAnsi="Open Sans;sans-serif"/>
          <w:b/>
          <w:i/>
          <w:color w:val="000000"/>
          <w:sz w:val="20"/>
        </w:rPr>
      </w:pPr>
      <w:r>
        <w:rPr>
          <w:rFonts w:ascii="Open Sans;sans-serif" w:hAnsi="Open Sans;sans-serif"/>
          <w:b/>
          <w:i/>
          <w:color w:val="000000"/>
          <w:sz w:val="20"/>
        </w:rPr>
        <w:t>Basis of Presentation</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The accompanying Condensed Consolidated Financial Statements have been prepared in accordance with generally accepted accounting principles in the United States of America (“GAAP”) and the applicable rules and regulations of the Securities and Exchange Commission, (“SEC”), for interim reporting. Certain information and note disclosures included in the Company’s annual financial statements prepared in accordance with GAAP have been condensed or omitted pursuant to such rules and regulations. The Condensed Consolidated Balance Sheet as of December 31, 2025 has been derived from the Company’s audited consolidated financial statements, which are included in the Company’s Annual Report on Form 10-K for the fiscal year ended December 31, 2025, which was filed with the SEC on February 24, 2026. The accompanying Condensed Consolidated Financial Statements should be read in conjunction with the Company’s consolidated financial statements and notes thereto included in the Annual Report on Form 10-K.</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The accompanying Condensed Consolidated Financial Statements include the accounts of the Company and its wholly-owned subsidiaries. All intercompany balances and transactions have been eliminated in consolidation. In the opinion of management, the accompanying Condensed Consolidated Financial Statements reflect all adjustments of a normal, recurring nature considered necessary for a fair presentation of the Company's consolidated financial position, results of operations, comprehensive income (loss), and cash flows for the interim periods presented. The interim results for the three months ended March 31, 2026 are not necessarily indicative of the results that may be expected for the year ending December 31, 2026, or for any other future annual or interim period.</w:t>
      </w:r>
    </w:p>
    <w:p>
      <w:pPr>
        <w:pStyle w:val="TextBody"/>
        <w:bidi w:val="0"/>
        <w:spacing w:lineRule="auto" w:line="288" w:before="180" w:after="283"/>
        <w:jc w:val="both"/>
        <w:rPr>
          <w:rFonts w:ascii="Open Sans;sans-serif" w:hAnsi="Open Sans;sans-serif"/>
          <w:b/>
          <w:i/>
          <w:color w:val="000000"/>
          <w:sz w:val="20"/>
        </w:rPr>
      </w:pPr>
      <w:r>
        <w:rPr>
          <w:rFonts w:ascii="Open Sans;sans-serif" w:hAnsi="Open Sans;sans-serif"/>
          <w:b/>
          <w:i/>
          <w:color w:val="000000"/>
          <w:sz w:val="20"/>
        </w:rPr>
        <w:t>Use of Estimates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The preparation of the financial statements in conformity with GAAP requires management to make various estimates and assumptions relating to reported amounts of assets and liabilities, disclosure of contingent liabilities, and reported amounts of revenue and expenses. Significant estimates and assumptions include, but are not limited to, the fair value and useful lives of assets acquired and liabilities assumed through business combinations, the estimation of contingent liabilities, the fair value of equity awards and warrants, share-based compensation, the estimation of variable consideration in contracts with customers, the cumulative network incentive rate the Company expects to earn during the annual measurement period, and valuation of income taxes. Actual results could differ materially from these estimates.</w:t>
      </w:r>
    </w:p>
    <w:p>
      <w:pPr>
        <w:pStyle w:val="TextBody"/>
        <w:bidi w:val="0"/>
        <w:spacing w:lineRule="auto" w:line="288" w:before="180" w:after="283"/>
        <w:jc w:val="both"/>
        <w:rPr>
          <w:rFonts w:ascii="Open Sans;sans-serif" w:hAnsi="Open Sans;sans-serif"/>
          <w:b/>
          <w:i/>
          <w:color w:val="000000"/>
          <w:sz w:val="20"/>
        </w:rPr>
      </w:pPr>
      <w:r>
        <w:rPr>
          <w:rFonts w:ascii="Open Sans;sans-serif" w:hAnsi="Open Sans;sans-serif"/>
          <w:b/>
          <w:i/>
          <w:color w:val="000000"/>
          <w:sz w:val="20"/>
        </w:rPr>
        <w:t>Business Risks and Uncertainties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Prior to the quarter ended March 31, 2026, the Company incurred net losses in each quarter since its inception, with the exception of the quarter ended June 30, 2024, which was primarily due to the forfeiture of the Executive Chairman Long-Term Incentive Award. As of March 31, 2026, the Company had an accumulated deficit of $804.0 million. The Company believes that its cash and cash equivalents of $674.8 million and short-term investments of $37.3 million as of March 31, 2026 are sufficient to fund its operations through at least the next twelve months from the issuance of these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7955"/>
                <wp:effectExtent l="0" t="0" r="0" b="0"/>
                <wp:wrapNone/>
                <wp:docPr id="10" name="Frame10"/>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10</w:t>
                      </w:r>
                    </w:p>
                  </w:txbxContent>
                </v:textbox>
                <w10:wrap type="none"/>
              </v:rect>
            </w:pict>
          </mc:Fallback>
        </mc:AlternateContent>
      </w:r>
    </w:p>
    <w:p>
      <w:pPr>
        <w:pStyle w:val="TextBody"/>
        <w:bidi w:val="0"/>
        <w:spacing w:lineRule="auto" w:line="288" w:before="0" w:after="60"/>
        <w:jc w:val="left"/>
        <w:rPr/>
      </w:pPr>
      <w:hyperlink w:anchor="i86ce94018fb640d7903f0edbc68bd8af_7">
        <w:r>
          <w:rPr>
            <w:rStyle w:val="InternetLink"/>
            <w:rFonts w:ascii="Open Sans;sans-serif" w:hAnsi="Open Sans;sans-serif"/>
            <w:b w:val="false"/>
            <w:color w:val="0000FF"/>
            <w:sz w:val="18"/>
            <w:u w:val="single"/>
          </w:rPr>
          <w:t>Table of Contents</w:t>
        </w:r>
      </w:hyperlink>
    </w:p>
    <w:p>
      <w:pPr>
        <w:pStyle w:val="TextBody"/>
        <w:bidi w:val="0"/>
        <w:spacing w:lineRule="auto" w:line="288" w:before="420" w:after="283"/>
        <w:jc w:val="left"/>
        <w:rPr/>
      </w:pPr>
      <w:r>
        <w:rPr>
          <w:rFonts w:ascii="Open Sans;sans-serif" w:hAnsi="Open Sans;sans-serif"/>
          <w:b/>
          <w:color w:val="000000"/>
          <w:sz w:val="20"/>
        </w:rPr>
        <w:t>2.</w:t>
      </w:r>
      <w:r>
        <w:rPr>
          <w:color w:val="000000"/>
        </w:rPr>
        <w:t>    </w:t>
      </w:r>
      <w:r>
        <w:rPr>
          <w:rFonts w:ascii="Open Sans;sans-serif" w:hAnsi="Open Sans;sans-serif"/>
          <w:b/>
          <w:color w:val="000000"/>
          <w:sz w:val="20"/>
        </w:rPr>
        <w:t>Summary of Significant Accounting Policies</w:t>
      </w:r>
    </w:p>
    <w:p>
      <w:pPr>
        <w:pStyle w:val="TextBody"/>
        <w:bidi w:val="0"/>
        <w:spacing w:lineRule="auto" w:line="288" w:before="240" w:after="283"/>
        <w:jc w:val="both"/>
        <w:rPr>
          <w:rFonts w:ascii="Open Sans;sans-serif" w:hAnsi="Open Sans;sans-serif"/>
          <w:b/>
          <w:i/>
          <w:color w:val="000000"/>
          <w:sz w:val="20"/>
        </w:rPr>
      </w:pPr>
      <w:r>
        <w:rPr>
          <w:rFonts w:ascii="Open Sans;sans-serif" w:hAnsi="Open Sans;sans-serif"/>
          <w:b/>
          <w:i/>
          <w:color w:val="000000"/>
          <w:sz w:val="20"/>
        </w:rPr>
        <w:t>Significant Accounting Policies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There have been no material changes to the Company’s significant accounting policies from the Annual Report on Form 10-K for the fiscal year ended December 31, 2025.</w:t>
      </w:r>
    </w:p>
    <w:p>
      <w:pPr>
        <w:pStyle w:val="TextBody"/>
        <w:bidi w:val="0"/>
        <w:spacing w:lineRule="auto" w:line="288" w:before="180" w:after="283"/>
        <w:jc w:val="both"/>
        <w:rPr>
          <w:rFonts w:ascii="Open Sans;sans-serif" w:hAnsi="Open Sans;sans-serif"/>
          <w:b/>
          <w:i/>
          <w:color w:val="000000"/>
          <w:sz w:val="20"/>
        </w:rPr>
      </w:pPr>
      <w:r>
        <w:rPr>
          <w:rFonts w:ascii="Open Sans;sans-serif" w:hAnsi="Open Sans;sans-serif"/>
          <w:b/>
          <w:i/>
          <w:color w:val="000000"/>
          <w:sz w:val="20"/>
        </w:rPr>
        <w:t>Recent Accounting Pronouncements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 xml:space="preserve">In November 2024, the FASB issued Accounting Standards Update No. 2024-03, “Income Statement—Reporting Comprehensive Income—Expense Disaggregation Disclosures” (“ASU 2024-03”). ASU 2024-03 is intended to improve disclosures about a public business entity's expenses and provide more detailed information to investors about the types of expenses in commonly presented expense captions. The amendments in this ASU are effective for fiscal years beginning after December 15, 2026, and interim periods within those fiscal years. The Company plans to adopt this pronouncement and make the necessary updates to its disclosures for the year ending December 31, 2027. While the Company is currently evaluating the operational and financial reporting implications of this standard, the Company does not currently expect the adoption of ASU 2024-03 to have a material impact on its financial statements or disclosures. </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 xml:space="preserve">In September 2025, the FASB issued Accounting Standards Update No. 2025-06, “Intangibles - Goodwill and Other - Internal-Use Software (Subtopic 350-40): Targeted Improvements to the Accounting for Internal-Use Software” ("ASU 2025-06"). ASU 2025-06 modernizes the accounting for internal-use software costs by increasing the operability of the recognition guidance considering different methods of software development. ASU 2025-06 can be applied prospectively, retrospectively, or with a modified transition approach, and is effective for the Company for annual reporting as well as interim period reporting beginning in fiscal year 2028 with early adoption permitted. The Company is currently evaluating the impact of adopting ASU 2025-06 on its condensed consolidated financial statements and related disclosures. The ASU changes the timing of when certain costs begin to be capitalized for internal-use software projects, while retaining the criteria for what costs be capitalized and when capitalization ceases. The Company is currently evaluating the impact that the adoption of this standard will have on its financial statements and disclosures.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20" w:after="283"/>
        <w:jc w:val="both"/>
        <w:rPr>
          <w:rFonts w:ascii="Open Sans;sans-serif" w:hAnsi="Open Sans;sans-serif"/>
          <w:b/>
          <w:color w:val="000000"/>
          <w:sz w:val="20"/>
        </w:rPr>
      </w:pPr>
      <w:r>
        <w:rPr>
          <w:rFonts w:ascii="Open Sans;sans-serif" w:hAnsi="Open Sans;sans-serif"/>
          <w:b/>
          <w:color w:val="000000"/>
          <w:sz w:val="20"/>
        </w:rPr>
        <w:t>3.    Revenue</w:t>
      </w:r>
    </w:p>
    <w:p>
      <w:pPr>
        <w:pStyle w:val="TextBody"/>
        <w:bidi w:val="0"/>
        <w:spacing w:lineRule="auto" w:line="288" w:before="180" w:after="283"/>
        <w:jc w:val="both"/>
        <w:rPr>
          <w:rFonts w:ascii="Open Sans;sans-serif" w:hAnsi="Open Sans;sans-serif"/>
          <w:b/>
          <w:i/>
          <w:color w:val="000000"/>
          <w:sz w:val="20"/>
        </w:rPr>
      </w:pPr>
      <w:r>
        <w:rPr>
          <w:rFonts w:ascii="Open Sans;sans-serif" w:hAnsi="Open Sans;sans-serif"/>
          <w:b/>
          <w:i/>
          <w:color w:val="000000"/>
          <w:sz w:val="20"/>
        </w:rPr>
        <w:t>Disaggregation of Revenue</w:t>
      </w:r>
    </w:p>
    <w:p>
      <w:pPr>
        <w:pStyle w:val="TextBody"/>
        <w:bidi w:val="0"/>
        <w:spacing w:lineRule="auto" w:line="288" w:before="120" w:after="120"/>
        <w:jc w:val="both"/>
        <w:rPr>
          <w:rFonts w:ascii="Open Sans;sans-serif" w:hAnsi="Open Sans;sans-serif"/>
          <w:b w:val="false"/>
          <w:color w:val="000000"/>
          <w:sz w:val="20"/>
        </w:rPr>
      </w:pPr>
      <w:r>
        <w:rPr>
          <w:rFonts w:ascii="Open Sans;sans-serif" w:hAnsi="Open Sans;sans-serif"/>
          <w:b w:val="false"/>
          <w:color w:val="000000"/>
          <w:sz w:val="20"/>
        </w:rPr>
        <w:t>The following table provides information about disaggregated revenue from customers:</w:t>
      </w:r>
    </w:p>
    <w:tbl>
      <w:tblPr>
        <w:tblW w:w="6489" w:type="dxa"/>
        <w:jc w:val="left"/>
        <w:tblInd w:w="0" w:type="dxa"/>
        <w:tblLayout w:type="fixed"/>
        <w:tblCellMar>
          <w:top w:w="28" w:type="dxa"/>
          <w:left w:w="28" w:type="dxa"/>
          <w:bottom w:w="28" w:type="dxa"/>
          <w:right w:w="28" w:type="dxa"/>
        </w:tblCellMar>
      </w:tblPr>
      <w:tblGrid>
        <w:gridCol w:w="1128"/>
        <w:gridCol w:w="994"/>
        <w:gridCol w:w="997"/>
        <w:gridCol w:w="226"/>
        <w:gridCol w:w="946"/>
        <w:gridCol w:w="109"/>
        <w:gridCol w:w="109"/>
        <w:gridCol w:w="109"/>
        <w:gridCol w:w="109"/>
        <w:gridCol w:w="226"/>
        <w:gridCol w:w="946"/>
        <w:gridCol w:w="109"/>
        <w:gridCol w:w="109"/>
        <w:gridCol w:w="109"/>
        <w:gridCol w:w="109"/>
        <w:gridCol w:w="154"/>
      </w:tblGrid>
      <w:tr>
        <w:trPr/>
        <w:tc>
          <w:tcPr>
            <w:tcW w:w="1128"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Platform services revenue, net</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156,225 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131,867 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Other services revenue</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9,573 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7,206 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Total net revenue</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165,798 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139,073 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7955"/>
                <wp:effectExtent l="0" t="0" r="0" b="0"/>
                <wp:wrapNone/>
                <wp:docPr id="11" name="Frame11"/>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11</w:t>
                      </w:r>
                    </w:p>
                  </w:txbxContent>
                </v:textbox>
                <w10:wrap type="none"/>
              </v:rect>
            </w:pict>
          </mc:Fallback>
        </mc:AlternateContent>
      </w:r>
    </w:p>
    <w:p>
      <w:pPr>
        <w:pStyle w:val="TextBody"/>
        <w:bidi w:val="0"/>
        <w:spacing w:lineRule="auto" w:line="288" w:before="0" w:after="60"/>
        <w:jc w:val="left"/>
        <w:rPr/>
      </w:pPr>
      <w:hyperlink w:anchor="i86ce94018fb640d7903f0edbc68bd8af_7">
        <w:r>
          <w:rPr>
            <w:rStyle w:val="InternetLink"/>
            <w:rFonts w:ascii="Open Sans;sans-serif" w:hAnsi="Open Sans;sans-serif"/>
            <w:b w:val="false"/>
            <w:color w:val="0000FF"/>
            <w:sz w:val="18"/>
            <w:u w:val="single"/>
          </w:rPr>
          <w:t>Table of Contents</w:t>
        </w:r>
      </w:hyperlink>
    </w:p>
    <w:p>
      <w:pPr>
        <w:pStyle w:val="TextBody"/>
        <w:bidi w:val="0"/>
        <w:spacing w:lineRule="auto" w:line="288" w:before="240" w:after="283"/>
        <w:jc w:val="both"/>
        <w:rPr>
          <w:rFonts w:ascii="Open Sans;sans-serif" w:hAnsi="Open Sans;sans-serif"/>
          <w:b/>
          <w:i/>
          <w:color w:val="000000"/>
          <w:sz w:val="20"/>
        </w:rPr>
      </w:pPr>
      <w:r>
        <w:rPr>
          <w:rFonts w:ascii="Open Sans;sans-serif" w:hAnsi="Open Sans;sans-serif"/>
          <w:b/>
          <w:i/>
          <w:color w:val="000000"/>
          <w:sz w:val="20"/>
        </w:rPr>
        <w:t>Contract Balances</w:t>
      </w:r>
    </w:p>
    <w:p>
      <w:pPr>
        <w:pStyle w:val="TextBody"/>
        <w:bidi w:val="0"/>
        <w:spacing w:lineRule="auto" w:line="288" w:before="120" w:after="120"/>
        <w:jc w:val="left"/>
        <w:rPr>
          <w:rFonts w:ascii="Open Sans;sans-serif" w:hAnsi="Open Sans;sans-serif"/>
          <w:b w:val="false"/>
          <w:color w:val="000000"/>
          <w:sz w:val="20"/>
        </w:rPr>
      </w:pPr>
      <w:r>
        <w:rPr>
          <w:rFonts w:ascii="Open Sans;sans-serif" w:hAnsi="Open Sans;sans-serif"/>
          <w:b w:val="false"/>
          <w:color w:val="000000"/>
          <w:sz w:val="20"/>
        </w:rPr>
        <w:t>The following table provides information about contract assets and deferred revenue:</w:t>
      </w:r>
    </w:p>
    <w:tbl>
      <w:tblPr>
        <w:tblW w:w="10205" w:type="dxa"/>
        <w:jc w:val="left"/>
        <w:tblInd w:w="0" w:type="dxa"/>
        <w:tblLayout w:type="fixed"/>
        <w:tblCellMar>
          <w:top w:w="28" w:type="dxa"/>
          <w:left w:w="28" w:type="dxa"/>
          <w:bottom w:w="28" w:type="dxa"/>
          <w:right w:w="28" w:type="dxa"/>
        </w:tblCellMar>
      </w:tblPr>
      <w:tblGrid>
        <w:gridCol w:w="1074"/>
        <w:gridCol w:w="860"/>
        <w:gridCol w:w="867"/>
        <w:gridCol w:w="109"/>
        <w:gridCol w:w="109"/>
        <w:gridCol w:w="109"/>
        <w:gridCol w:w="1299"/>
        <w:gridCol w:w="1287"/>
        <w:gridCol w:w="1291"/>
        <w:gridCol w:w="109"/>
        <w:gridCol w:w="109"/>
        <w:gridCol w:w="109"/>
        <w:gridCol w:w="226"/>
        <w:gridCol w:w="826"/>
        <w:gridCol w:w="109"/>
        <w:gridCol w:w="109"/>
        <w:gridCol w:w="109"/>
        <w:gridCol w:w="109"/>
        <w:gridCol w:w="258"/>
        <w:gridCol w:w="946"/>
        <w:gridCol w:w="181"/>
      </w:tblGrid>
      <w:tr>
        <w:trPr/>
        <w:tc>
          <w:tcPr>
            <w:tcW w:w="1074"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2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Contract balance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Balance sheet line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December 31,</w:t>
              <w:br/>
              <w:t>2025</w:t>
            </w:r>
          </w:p>
        </w:tc>
      </w:tr>
      <w:tr>
        <w:trPr/>
        <w:tc>
          <w:tcPr>
            <w:tcW w:w="28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Contract assets - 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4,420 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4,021 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Contract assets - non-current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6,202 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6,688 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Total contract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10,622 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10,709 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Deferred revenue - 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Accrued expenses and 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8,698 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11,762 </w:t>
            </w:r>
          </w:p>
        </w:tc>
        <w:tc>
          <w:tcPr>
            <w:tcW w:w="18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Deferred revenue - non-current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2,813 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2,640 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Total deferred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11,511 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14,402 </w:t>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 xml:space="preserve">Net revenue recognized during the three months ended March 31, 2026 and 2025 that was included in the deferred revenue balances at the beginning of the respective periods was $4.1 million and $4.6 million, respectively. </w:t>
      </w:r>
    </w:p>
    <w:p>
      <w:pPr>
        <w:pStyle w:val="TextBody"/>
        <w:bidi w:val="0"/>
        <w:spacing w:lineRule="auto" w:line="288" w:before="240" w:after="283"/>
        <w:jc w:val="both"/>
        <w:rPr>
          <w:rFonts w:ascii="Open Sans;sans-serif" w:hAnsi="Open Sans;sans-serif"/>
          <w:b/>
          <w:i/>
          <w:color w:val="000000"/>
          <w:sz w:val="20"/>
        </w:rPr>
      </w:pPr>
      <w:r>
        <w:rPr>
          <w:rFonts w:ascii="Open Sans;sans-serif" w:hAnsi="Open Sans;sans-serif"/>
          <w:b/>
          <w:i/>
          <w:color w:val="000000"/>
          <w:sz w:val="20"/>
        </w:rPr>
        <w:t>Remaining Performance Obligations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The Company has performance obligations associated with commitments in customer contracts for future stand-ready obligations to process transactions throughout the contractual term. As of March 31, 2026, the aggregate transaction price allocated to our remaining performance obligations was $37.0 million. The Company expects to recognize approximately 71% within two years and the remaining 29% over the next three to five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20" w:after="283"/>
        <w:jc w:val="left"/>
        <w:rPr>
          <w:rFonts w:ascii="Open Sans;sans-serif" w:hAnsi="Open Sans;sans-serif"/>
          <w:b/>
          <w:color w:val="000000"/>
          <w:sz w:val="20"/>
        </w:rPr>
      </w:pPr>
      <w:r>
        <w:rPr>
          <w:rFonts w:ascii="Open Sans;sans-serif" w:hAnsi="Open Sans;sans-serif"/>
          <w:b/>
          <w:color w:val="000000"/>
          <w:sz w:val="20"/>
        </w:rPr>
        <w:t>4.    Business Combinations</w:t>
      </w:r>
    </w:p>
    <w:p>
      <w:pPr>
        <w:pStyle w:val="TextBody"/>
        <w:bidi w:val="0"/>
        <w:spacing w:lineRule="auto" w:line="288" w:before="120" w:after="283"/>
        <w:jc w:val="both"/>
        <w:rPr>
          <w:rFonts w:ascii="Open Sans;sans-serif" w:hAnsi="Open Sans;sans-serif"/>
          <w:b/>
          <w:i/>
          <w:color w:val="000000"/>
          <w:sz w:val="20"/>
        </w:rPr>
      </w:pPr>
      <w:r>
        <w:rPr>
          <w:rFonts w:ascii="Open Sans;sans-serif" w:hAnsi="Open Sans;sans-serif"/>
          <w:b/>
          <w:i/>
          <w:color w:val="000000"/>
          <w:sz w:val="20"/>
        </w:rPr>
        <w:t>TransactPay</w:t>
      </w:r>
    </w:p>
    <w:p>
      <w:pPr>
        <w:pStyle w:val="TextBody"/>
        <w:bidi w:val="0"/>
        <w:spacing w:lineRule="auto" w:line="288" w:before="120" w:after="283"/>
        <w:jc w:val="both"/>
        <w:rPr/>
      </w:pPr>
      <w:r>
        <w:rPr>
          <w:rFonts w:ascii="Open Sans;sans-serif" w:hAnsi="Open Sans;sans-serif"/>
          <w:b w:val="false"/>
          <w:color w:val="000000"/>
          <w:sz w:val="20"/>
        </w:rPr>
        <w:t xml:space="preserve">The Company completed its acquisition of TransactPay on July 31, 2025. See Note 4, “Business Combinations,” to the </w:t>
      </w:r>
      <w:r>
        <w:fldChar w:fldCharType="begin"/>
      </w:r>
      <w:r>
        <w:rPr>
          <w:rStyle w:val="InternetLink"/>
          <w:sz w:val="20"/>
          <w:u w:val="single"/>
          <w:b w:val="false"/>
          <w:rFonts w:ascii="Open Sans;sans-serif" w:hAnsi="Open Sans;sans-serif"/>
          <w:color w:val="000080"/>
        </w:rPr>
        <w:instrText xml:space="preserve"> HYPERLINK "https://www.sec.gov/ix?doc=/Archives/edgar/data/0001522540/000152254026000017/mq-20251231.htm" \l "fact-identifier-684"</w:instrText>
      </w:r>
      <w:r>
        <w:rPr>
          <w:rStyle w:val="InternetLink"/>
          <w:sz w:val="20"/>
          <w:u w:val="single"/>
          <w:b w:val="false"/>
          <w:rFonts w:ascii="Open Sans;sans-serif" w:hAnsi="Open Sans;sans-serif"/>
          <w:color w:val="000080"/>
        </w:rPr>
        <w:fldChar w:fldCharType="separate"/>
      </w:r>
      <w:r>
        <w:rPr>
          <w:rStyle w:val="InternetLink"/>
          <w:rFonts w:ascii="Open Sans;sans-serif" w:hAnsi="Open Sans;sans-serif"/>
          <w:b w:val="false"/>
          <w:color w:val="000080"/>
          <w:sz w:val="20"/>
          <w:u w:val="single"/>
        </w:rPr>
        <w:t>consolidated financi</w:t>
      </w:r>
      <w:r>
        <w:rPr>
          <w:rStyle w:val="InternetLink"/>
          <w:sz w:val="20"/>
          <w:u w:val="single"/>
          <w:b w:val="false"/>
          <w:rFonts w:ascii="Open Sans;sans-serif" w:hAnsi="Open Sans;sans-serif"/>
          <w:color w:val="000080"/>
        </w:rPr>
        <w:fldChar w:fldCharType="end"/>
      </w:r>
      <w:r>
        <w:fldChar w:fldCharType="begin"/>
      </w:r>
      <w:r>
        <w:rPr>
          <w:rStyle w:val="InternetLink"/>
          <w:sz w:val="20"/>
          <w:u w:val="single"/>
          <w:b w:val="false"/>
          <w:rFonts w:ascii="Open Sans;sans-serif" w:hAnsi="Open Sans;sans-serif"/>
          <w:color w:val="000080"/>
        </w:rPr>
        <w:instrText xml:space="preserve"> HYPERLINK "https://www.sec.gov/ix?doc=/Archives/edgar/data/0001522540/000152254026000017/mq-20251231.htm" \l "fact-identifier-684"</w:instrText>
      </w:r>
      <w:r>
        <w:rPr>
          <w:rStyle w:val="InternetLink"/>
          <w:sz w:val="20"/>
          <w:u w:val="single"/>
          <w:b w:val="false"/>
          <w:rFonts w:ascii="Open Sans;sans-serif" w:hAnsi="Open Sans;sans-serif"/>
          <w:color w:val="000080"/>
        </w:rPr>
        <w:fldChar w:fldCharType="separate"/>
      </w:r>
      <w:r>
        <w:rPr>
          <w:rStyle w:val="InternetLink"/>
          <w:rFonts w:ascii="Open Sans;sans-serif" w:hAnsi="Open Sans;sans-serif"/>
          <w:b w:val="false"/>
          <w:color w:val="000080"/>
          <w:sz w:val="20"/>
          <w:u w:val="single"/>
        </w:rPr>
        <w:t>al statements included in the C</w:t>
      </w:r>
      <w:r>
        <w:rPr>
          <w:rStyle w:val="InternetLink"/>
          <w:sz w:val="20"/>
          <w:u w:val="single"/>
          <w:b w:val="false"/>
          <w:rFonts w:ascii="Open Sans;sans-serif" w:hAnsi="Open Sans;sans-serif"/>
          <w:color w:val="000080"/>
        </w:rPr>
        <w:fldChar w:fldCharType="end"/>
      </w:r>
      <w:r>
        <w:fldChar w:fldCharType="begin"/>
      </w:r>
      <w:r>
        <w:rPr>
          <w:rStyle w:val="InternetLink"/>
          <w:sz w:val="20"/>
          <w:u w:val="single"/>
          <w:b w:val="false"/>
          <w:rFonts w:ascii="Open Sans;sans-serif" w:hAnsi="Open Sans;sans-serif"/>
          <w:color w:val="000080"/>
        </w:rPr>
        <w:instrText xml:space="preserve"> HYPERLINK "https://www.sec.gov/ix?doc=/Archives/edgar/data/0001522540/000152254026000017/mq-20251231.htm" \l "fact-identifier-684"</w:instrText>
      </w:r>
      <w:r>
        <w:rPr>
          <w:rStyle w:val="InternetLink"/>
          <w:sz w:val="20"/>
          <w:u w:val="single"/>
          <w:b w:val="false"/>
          <w:rFonts w:ascii="Open Sans;sans-serif" w:hAnsi="Open Sans;sans-serif"/>
          <w:color w:val="000080"/>
        </w:rPr>
        <w:fldChar w:fldCharType="separate"/>
      </w:r>
      <w:r>
        <w:rPr>
          <w:rStyle w:val="InternetLink"/>
          <w:rFonts w:ascii="Open Sans;sans-serif" w:hAnsi="Open Sans;sans-serif"/>
          <w:b w:val="false"/>
          <w:color w:val="000080"/>
          <w:sz w:val="20"/>
          <w:u w:val="single"/>
        </w:rPr>
        <w:t>o</w:t>
      </w:r>
      <w:r>
        <w:rPr>
          <w:rStyle w:val="InternetLink"/>
          <w:sz w:val="20"/>
          <w:u w:val="single"/>
          <w:b w:val="false"/>
          <w:rFonts w:ascii="Open Sans;sans-serif" w:hAnsi="Open Sans;sans-serif"/>
          <w:color w:val="000080"/>
        </w:rPr>
        <w:fldChar w:fldCharType="end"/>
      </w:r>
      <w:r>
        <w:fldChar w:fldCharType="begin"/>
      </w:r>
      <w:r>
        <w:rPr>
          <w:rStyle w:val="InternetLink"/>
          <w:sz w:val="20"/>
          <w:u w:val="single"/>
          <w:b w:val="false"/>
          <w:rFonts w:ascii="Open Sans;sans-serif" w:hAnsi="Open Sans;sans-serif"/>
          <w:color w:val="000080"/>
        </w:rPr>
        <w:instrText xml:space="preserve"> HYPERLINK "https://www.sec.gov/ix?doc=/Archives/edgar/data/0001522540/000152254026000017/mq-20251231.htm" \l "fact-identifier-684"</w:instrText>
      </w:r>
      <w:r>
        <w:rPr>
          <w:rStyle w:val="InternetLink"/>
          <w:sz w:val="20"/>
          <w:u w:val="single"/>
          <w:b w:val="false"/>
          <w:rFonts w:ascii="Open Sans;sans-serif" w:hAnsi="Open Sans;sans-serif"/>
          <w:color w:val="000080"/>
        </w:rPr>
        <w:fldChar w:fldCharType="separate"/>
      </w:r>
      <w:r>
        <w:rPr>
          <w:rStyle w:val="InternetLink"/>
          <w:rFonts w:ascii="Open Sans;sans-serif" w:hAnsi="Open Sans;sans-serif"/>
          <w:b w:val="false"/>
          <w:color w:val="000080"/>
          <w:sz w:val="20"/>
          <w:u w:val="single"/>
        </w:rPr>
        <w:t>m</w:t>
      </w:r>
      <w:r>
        <w:rPr>
          <w:rStyle w:val="InternetLink"/>
          <w:sz w:val="20"/>
          <w:u w:val="single"/>
          <w:b w:val="false"/>
          <w:rFonts w:ascii="Open Sans;sans-serif" w:hAnsi="Open Sans;sans-serif"/>
          <w:color w:val="000080"/>
        </w:rPr>
        <w:fldChar w:fldCharType="end"/>
      </w:r>
      <w:r>
        <w:fldChar w:fldCharType="begin"/>
      </w:r>
      <w:r>
        <w:rPr>
          <w:rStyle w:val="InternetLink"/>
          <w:sz w:val="20"/>
          <w:u w:val="single"/>
          <w:b w:val="false"/>
          <w:rFonts w:ascii="Open Sans;sans-serif" w:hAnsi="Open Sans;sans-serif"/>
          <w:color w:val="000080"/>
        </w:rPr>
        <w:instrText xml:space="preserve"> HYPERLINK "https://www.sec.gov/ix?doc=/Archives/edgar/data/0001522540/000152254026000017/mq-20251231.htm" \l "fact-identifier-684"</w:instrText>
      </w:r>
      <w:r>
        <w:rPr>
          <w:rStyle w:val="InternetLink"/>
          <w:sz w:val="20"/>
          <w:u w:val="single"/>
          <w:b w:val="false"/>
          <w:rFonts w:ascii="Open Sans;sans-serif" w:hAnsi="Open Sans;sans-serif"/>
          <w:color w:val="000080"/>
        </w:rPr>
        <w:fldChar w:fldCharType="separate"/>
      </w:r>
      <w:r>
        <w:rPr>
          <w:rStyle w:val="InternetLink"/>
          <w:rFonts w:ascii="Open Sans;sans-serif" w:hAnsi="Open Sans;sans-serif"/>
          <w:b w:val="false"/>
          <w:color w:val="000080"/>
          <w:sz w:val="20"/>
          <w:u w:val="single"/>
        </w:rPr>
        <w:t>pany</w:t>
      </w:r>
      <w:r>
        <w:rPr>
          <w:rStyle w:val="InternetLink"/>
          <w:sz w:val="20"/>
          <w:u w:val="single"/>
          <w:b w:val="false"/>
          <w:rFonts w:ascii="Open Sans;sans-serif" w:hAnsi="Open Sans;sans-serif"/>
          <w:color w:val="000080"/>
        </w:rPr>
        <w:fldChar w:fldCharType="end"/>
      </w:r>
      <w:r>
        <w:fldChar w:fldCharType="begin"/>
      </w:r>
      <w:r>
        <w:rPr>
          <w:rStyle w:val="InternetLink"/>
          <w:sz w:val="20"/>
          <w:u w:val="single"/>
          <w:b w:val="false"/>
          <w:rFonts w:ascii="Open Sans;sans-serif" w:hAnsi="Open Sans;sans-serif"/>
          <w:color w:val="000080"/>
        </w:rPr>
        <w:instrText xml:space="preserve"> HYPERLINK "https://www.sec.gov/ix?doc=/Archives/edgar/data/0001522540/000152254026000017/mq-20251231.htm" \l "fact-identifier-684"</w:instrText>
      </w:r>
      <w:r>
        <w:rPr>
          <w:rStyle w:val="InternetLink"/>
          <w:sz w:val="20"/>
          <w:u w:val="single"/>
          <w:b w:val="false"/>
          <w:rFonts w:ascii="Open Sans;sans-serif" w:hAnsi="Open Sans;sans-serif"/>
          <w:color w:val="000080"/>
        </w:rPr>
        <w:fldChar w:fldCharType="separate"/>
      </w:r>
      <w:r>
        <w:rPr>
          <w:rStyle w:val="InternetLink"/>
          <w:rFonts w:ascii="Open Sans;sans-serif" w:hAnsi="Open Sans;sans-serif"/>
          <w:b w:val="false"/>
          <w:color w:val="000080"/>
          <w:sz w:val="20"/>
          <w:u w:val="single"/>
        </w:rPr>
        <w:t>’</w:t>
      </w:r>
      <w:r>
        <w:rPr>
          <w:rStyle w:val="InternetLink"/>
          <w:sz w:val="20"/>
          <w:u w:val="single"/>
          <w:b w:val="false"/>
          <w:rFonts w:ascii="Open Sans;sans-serif" w:hAnsi="Open Sans;sans-serif"/>
          <w:color w:val="000080"/>
        </w:rPr>
        <w:fldChar w:fldCharType="end"/>
      </w:r>
      <w:r>
        <w:fldChar w:fldCharType="begin"/>
      </w:r>
      <w:r>
        <w:rPr>
          <w:rStyle w:val="InternetLink"/>
          <w:sz w:val="20"/>
          <w:u w:val="single"/>
          <w:b w:val="false"/>
          <w:rFonts w:ascii="Open Sans;sans-serif" w:hAnsi="Open Sans;sans-serif"/>
          <w:color w:val="000080"/>
        </w:rPr>
        <w:instrText xml:space="preserve"> HYPERLINK "https://www.sec.gov/ix?doc=/Archives/edgar/data/0001522540/000152254026000017/mq-20251231.htm" \l "fact-identifier-684"</w:instrText>
      </w:r>
      <w:r>
        <w:rPr>
          <w:rStyle w:val="InternetLink"/>
          <w:sz w:val="20"/>
          <w:u w:val="single"/>
          <w:b w:val="false"/>
          <w:rFonts w:ascii="Open Sans;sans-serif" w:hAnsi="Open Sans;sans-serif"/>
          <w:color w:val="000080"/>
        </w:rPr>
        <w:fldChar w:fldCharType="separate"/>
      </w:r>
      <w:r>
        <w:rPr>
          <w:rStyle w:val="InternetLink"/>
          <w:rFonts w:ascii="Open Sans;sans-serif" w:hAnsi="Open Sans;sans-serif"/>
          <w:b w:val="false"/>
          <w:color w:val="000080"/>
          <w:sz w:val="20"/>
          <w:u w:val="single"/>
        </w:rPr>
        <w:t xml:space="preserve">s </w:t>
      </w:r>
      <w:r>
        <w:rPr>
          <w:rStyle w:val="InternetLink"/>
          <w:sz w:val="20"/>
          <w:u w:val="single"/>
          <w:b w:val="false"/>
          <w:rFonts w:ascii="Open Sans;sans-serif" w:hAnsi="Open Sans;sans-serif"/>
          <w:color w:val="000080"/>
        </w:rPr>
        <w:fldChar w:fldCharType="end"/>
      </w:r>
      <w:r>
        <w:fldChar w:fldCharType="begin"/>
      </w:r>
      <w:r>
        <w:rPr>
          <w:rStyle w:val="InternetLink"/>
          <w:sz w:val="20"/>
          <w:u w:val="single"/>
          <w:b w:val="false"/>
          <w:rFonts w:ascii="Open Sans;sans-serif" w:hAnsi="Open Sans;sans-serif"/>
          <w:color w:val="000080"/>
        </w:rPr>
        <w:instrText xml:space="preserve"> HYPERLINK "https://www.sec.gov/ix?doc=/Archives/edgar/data/0001522540/000152254026000017/mq-20251231.htm" \l "fact-identifier-684"</w:instrText>
      </w:r>
      <w:r>
        <w:rPr>
          <w:rStyle w:val="InternetLink"/>
          <w:sz w:val="20"/>
          <w:u w:val="single"/>
          <w:b w:val="false"/>
          <w:rFonts w:ascii="Open Sans;sans-serif" w:hAnsi="Open Sans;sans-serif"/>
          <w:color w:val="000080"/>
        </w:rPr>
        <w:fldChar w:fldCharType="separate"/>
      </w:r>
      <w:r>
        <w:rPr>
          <w:rStyle w:val="InternetLink"/>
          <w:rFonts w:ascii="Open Sans;sans-serif" w:hAnsi="Open Sans;sans-serif"/>
          <w:b w:val="false"/>
          <w:color w:val="000080"/>
          <w:sz w:val="20"/>
          <w:u w:val="single"/>
        </w:rPr>
        <w:t>Annual Re</w:t>
      </w:r>
      <w:r>
        <w:rPr>
          <w:rStyle w:val="InternetLink"/>
          <w:sz w:val="20"/>
          <w:u w:val="single"/>
          <w:b w:val="false"/>
          <w:rFonts w:ascii="Open Sans;sans-serif" w:hAnsi="Open Sans;sans-serif"/>
          <w:color w:val="000080"/>
        </w:rPr>
        <w:fldChar w:fldCharType="end"/>
      </w:r>
      <w:r>
        <w:fldChar w:fldCharType="begin"/>
      </w:r>
      <w:r>
        <w:rPr>
          <w:rStyle w:val="InternetLink"/>
          <w:sz w:val="20"/>
          <w:u w:val="single"/>
          <w:b w:val="false"/>
          <w:rFonts w:ascii="Open Sans;sans-serif" w:hAnsi="Open Sans;sans-serif"/>
          <w:color w:val="000080"/>
        </w:rPr>
        <w:instrText xml:space="preserve"> HYPERLINK "https://www.sec.gov/ix?doc=/Archives/edgar/data/0001522540/000152254026000017/mq-20251231.htm" \l "fact-identifier-684"</w:instrText>
      </w:r>
      <w:r>
        <w:rPr>
          <w:rStyle w:val="InternetLink"/>
          <w:sz w:val="20"/>
          <w:u w:val="single"/>
          <w:b w:val="false"/>
          <w:rFonts w:ascii="Open Sans;sans-serif" w:hAnsi="Open Sans;sans-serif"/>
          <w:color w:val="000080"/>
        </w:rPr>
        <w:fldChar w:fldCharType="separate"/>
      </w:r>
      <w:r>
        <w:rPr>
          <w:rStyle w:val="InternetLink"/>
          <w:rFonts w:ascii="Open Sans;sans-serif" w:hAnsi="Open Sans;sans-serif"/>
          <w:b w:val="false"/>
          <w:color w:val="000080"/>
          <w:sz w:val="20"/>
          <w:u w:val="single"/>
        </w:rPr>
        <w:t>port on Form 10-K</w:t>
      </w:r>
      <w:r>
        <w:rPr>
          <w:rStyle w:val="InternetLink"/>
          <w:sz w:val="20"/>
          <w:u w:val="single"/>
          <w:b w:val="false"/>
          <w:rFonts w:ascii="Open Sans;sans-serif" w:hAnsi="Open Sans;sans-serif"/>
          <w:color w:val="000080"/>
        </w:rPr>
        <w:fldChar w:fldCharType="end"/>
      </w:r>
      <w:r>
        <w:rPr>
          <w:color w:val="000000"/>
        </w:rPr>
        <w:t xml:space="preserve"> </w:t>
      </w:r>
      <w:r>
        <w:rPr>
          <w:rFonts w:ascii="Open Sans;sans-serif" w:hAnsi="Open Sans;sans-serif"/>
          <w:b w:val="false"/>
          <w:color w:val="000000"/>
          <w:sz w:val="20"/>
        </w:rPr>
        <w:t xml:space="preserve">for the year ended December 31, 2025 for additional information regarding this acquisition. There have been no changes to the purchase price or the allocation of purchase price since December 31, 2025. The measurement period for the acquisition remains open as of March 31, 2026. No measurement period adjustments were recognized during the three months ended March 31, 2026. </w:t>
      </w:r>
    </w:p>
    <w:p>
      <w:pPr>
        <w:pStyle w:val="TextBody"/>
        <w:bidi w:val="0"/>
        <w:spacing w:lineRule="auto" w:line="288" w:before="120" w:after="283"/>
        <w:jc w:val="both"/>
        <w:rPr>
          <w:rFonts w:ascii="Open Sans;sans-serif" w:hAnsi="Open Sans;sans-serif"/>
          <w:b/>
          <w:i/>
          <w:color w:val="000000"/>
          <w:sz w:val="20"/>
        </w:rPr>
      </w:pPr>
      <w:r>
        <w:rPr>
          <w:rFonts w:ascii="Open Sans;sans-serif" w:hAnsi="Open Sans;sans-serif"/>
          <w:b/>
          <w:i/>
          <w:color w:val="000000"/>
          <w:sz w:val="20"/>
        </w:rPr>
        <w:t>Contingent Consideration</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 xml:space="preserve">As previously disclosed in the Company’s Annual Report on Form 10-K for the year ended December 31, 2025, the acquisition of TransactPay included two earn-out arrangements (the “Regulatory Improvement Earn-out” of $2.3 million and the “Digital Products Earn-out” of up to $3.4 million) payable upon satisfaction of specified post-closing performance conditions. The digital products relate to an emerging line of business that was not part of TransactPay’s core operations at the time of acquisition. The accruals for both earn-outs are included as part of accrued expenses and other current liabilities in the Condensed Consolidated Balance Sheets. </w:t>
      </w:r>
    </w:p>
    <w:p>
      <w:pPr>
        <w:pStyle w:val="TextBody"/>
        <w:bidi w:val="0"/>
        <w:spacing w:before="0" w:after="0"/>
        <w:jc w:val="both"/>
        <w:rPr/>
      </w:pPr>
      <w:r>
        <w:rPr/>
      </w:r>
    </w:p>
    <w:p>
      <w:pPr>
        <w:pStyle w:val="TextBody"/>
        <w:bidi w:val="0"/>
        <w:spacing w:lineRule="auto" w:line="288" w:before="0" w:after="0"/>
        <w:jc w:val="both"/>
        <w:rPr>
          <w:rFonts w:ascii="Open Sans;sans-serif" w:hAnsi="Open Sans;sans-serif"/>
          <w:b w:val="false"/>
          <w:color w:val="000000"/>
          <w:sz w:val="20"/>
        </w:rPr>
      </w:pPr>
      <w:r>
        <w:rPr>
          <w:rFonts w:ascii="Open Sans;sans-serif" w:hAnsi="Open Sans;sans-serif"/>
          <w:b w:val="false"/>
          <w:color w:val="000000"/>
          <w:sz w:val="20"/>
        </w:rPr>
        <w:t xml:space="preserve">As of December 31, 2025, the Company had accrued approximately $2.3 million for the Regulatory Improvement Earn-out and approximately $1.3 million for the Digital Products Earn-out based on the facts available at that time. The Regulatory Improvement Earn-out liability remained unchanged at approximately $2.3 million as of March 31, 2026.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7955"/>
                <wp:effectExtent l="0" t="0" r="0" b="0"/>
                <wp:wrapNone/>
                <wp:docPr id="12" name="Frame12"/>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12</w:t>
                      </w:r>
                    </w:p>
                  </w:txbxContent>
                </v:textbox>
                <w10:wrap type="none"/>
              </v:rect>
            </w:pict>
          </mc:Fallback>
        </mc:AlternateContent>
      </w:r>
    </w:p>
    <w:p>
      <w:pPr>
        <w:pStyle w:val="TextBody"/>
        <w:bidi w:val="0"/>
        <w:spacing w:lineRule="auto" w:line="288" w:before="0" w:after="60"/>
        <w:jc w:val="left"/>
        <w:rPr/>
      </w:pPr>
      <w:hyperlink w:anchor="i86ce94018fb640d7903f0edbc68bd8af_7">
        <w:r>
          <w:rPr>
            <w:rStyle w:val="InternetLink"/>
            <w:rFonts w:ascii="Open Sans;sans-serif" w:hAnsi="Open Sans;sans-serif"/>
            <w:b w:val="false"/>
            <w:color w:val="0000FF"/>
            <w:sz w:val="18"/>
            <w:u w:val="single"/>
          </w:rPr>
          <w:t>Table of Contents</w:t>
        </w:r>
      </w:hyperlink>
    </w:p>
    <w:p>
      <w:pPr>
        <w:pStyle w:val="TextBody"/>
        <w:bidi w:val="0"/>
        <w:spacing w:lineRule="auto" w:line="288" w:before="0" w:after="0"/>
        <w:jc w:val="both"/>
        <w:rPr>
          <w:rFonts w:ascii="Open Sans;sans-serif" w:hAnsi="Open Sans;sans-serif"/>
          <w:b w:val="false"/>
          <w:color w:val="000000"/>
          <w:sz w:val="20"/>
        </w:rPr>
      </w:pPr>
      <w:r>
        <w:rPr>
          <w:rFonts w:ascii="Open Sans;sans-serif" w:hAnsi="Open Sans;sans-serif"/>
          <w:b w:val="false"/>
          <w:color w:val="000000"/>
          <w:sz w:val="20"/>
        </w:rPr>
        <w:t xml:space="preserve">During the three months ended March 31, 2026, the Company remeasured the Digital Products Earn-out liability based on updated gross profit information, reducing the accrual by $0.9 million. This reduction was recognized as a gain in Other income, net in the Condensed Consolidated Statement of Operations and Comprehensive Income (Loss). The revised total earn-out of approximately $2.7 million, which comprises $2.3 million related to the Regulatory Improvement Earn-out and $0.4 million related to Digital Products Earn-out, was paid in April 2026. </w:t>
      </w:r>
    </w:p>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20" w:after="283"/>
        <w:jc w:val="both"/>
        <w:rPr>
          <w:rFonts w:ascii="Open Sans;sans-serif" w:hAnsi="Open Sans;sans-serif"/>
          <w:b/>
          <w:color w:val="000000"/>
          <w:sz w:val="20"/>
        </w:rPr>
      </w:pPr>
      <w:r>
        <w:rPr>
          <w:rFonts w:ascii="Open Sans;sans-serif" w:hAnsi="Open Sans;sans-serif"/>
          <w:b/>
          <w:color w:val="000000"/>
          <w:sz w:val="20"/>
        </w:rPr>
        <w:t xml:space="preserve">5.    Goodwill and Intangible Assets, net </w:t>
      </w:r>
    </w:p>
    <w:p>
      <w:pPr>
        <w:pStyle w:val="TextBody"/>
        <w:bidi w:val="0"/>
        <w:spacing w:lineRule="auto" w:line="288" w:before="240" w:after="120"/>
        <w:jc w:val="both"/>
        <w:rPr>
          <w:rFonts w:ascii="Open Sans;sans-serif" w:hAnsi="Open Sans;sans-serif"/>
          <w:b/>
          <w:i/>
          <w:color w:val="000000"/>
          <w:sz w:val="20"/>
        </w:rPr>
      </w:pPr>
      <w:r>
        <w:rPr>
          <w:rFonts w:ascii="Open Sans;sans-serif" w:hAnsi="Open Sans;sans-serif"/>
          <w:b/>
          <w:i/>
          <w:color w:val="000000"/>
          <w:sz w:val="20"/>
        </w:rPr>
        <w:t>Goodwill</w:t>
      </w:r>
    </w:p>
    <w:p>
      <w:pPr>
        <w:pStyle w:val="TextBody"/>
        <w:bidi w:val="0"/>
        <w:spacing w:lineRule="auto" w:line="288" w:before="240" w:after="283"/>
        <w:jc w:val="both"/>
        <w:rPr>
          <w:rFonts w:ascii="Open Sans;sans-serif" w:hAnsi="Open Sans;sans-serif"/>
          <w:b w:val="false"/>
          <w:color w:val="000000"/>
          <w:sz w:val="20"/>
        </w:rPr>
      </w:pPr>
      <w:r>
        <w:rPr>
          <w:rFonts w:ascii="Open Sans;sans-serif" w:hAnsi="Open Sans;sans-serif"/>
          <w:b w:val="false"/>
          <w:color w:val="000000"/>
          <w:sz w:val="20"/>
        </w:rPr>
        <w:t>Goodwill consisted of the following:</w:t>
      </w:r>
    </w:p>
    <w:tbl>
      <w:tblPr>
        <w:tblW w:w="4730" w:type="dxa"/>
        <w:jc w:val="left"/>
        <w:tblInd w:w="0" w:type="dxa"/>
        <w:tblLayout w:type="fixed"/>
        <w:tblCellMar>
          <w:top w:w="28" w:type="dxa"/>
          <w:left w:w="28" w:type="dxa"/>
          <w:bottom w:w="28" w:type="dxa"/>
          <w:right w:w="28" w:type="dxa"/>
        </w:tblCellMar>
      </w:tblPr>
      <w:tblGrid>
        <w:gridCol w:w="1234"/>
        <w:gridCol w:w="1082"/>
        <w:gridCol w:w="1088"/>
        <w:gridCol w:w="226"/>
        <w:gridCol w:w="946"/>
        <w:gridCol w:w="154"/>
      </w:tblGrid>
      <w:tr>
        <w:trPr/>
        <w:tc>
          <w:tcPr>
            <w:tcW w:w="1234"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Balance as of December 31, 2025</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154,706 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Foreign currency adjustment</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(744)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Balance as of March 31, 2026</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153,962 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Open Sans;sans-serif" w:hAnsi="Open Sans;sans-serif"/>
          <w:b/>
          <w:i/>
          <w:color w:val="000000"/>
          <w:sz w:val="20"/>
        </w:rPr>
      </w:pPr>
      <w:r>
        <w:rPr>
          <w:rFonts w:ascii="Open Sans;sans-serif" w:hAnsi="Open Sans;sans-serif"/>
          <w:b/>
          <w:i/>
          <w:color w:val="000000"/>
          <w:sz w:val="20"/>
        </w:rPr>
        <w:t>Intangible Assets, net</w:t>
      </w:r>
    </w:p>
    <w:p>
      <w:pPr>
        <w:pStyle w:val="TextBody"/>
        <w:bidi w:val="0"/>
        <w:spacing w:lineRule="auto" w:line="288" w:before="120" w:after="120"/>
        <w:jc w:val="both"/>
        <w:rPr>
          <w:rFonts w:ascii="Open Sans;sans-serif" w:hAnsi="Open Sans;sans-serif"/>
          <w:b w:val="false"/>
          <w:color w:val="000000"/>
          <w:sz w:val="20"/>
        </w:rPr>
      </w:pPr>
      <w:r>
        <w:rPr>
          <w:rFonts w:ascii="Open Sans;sans-serif" w:hAnsi="Open Sans;sans-serif"/>
          <w:b w:val="false"/>
          <w:color w:val="000000"/>
          <w:sz w:val="20"/>
        </w:rPr>
        <w:t>The following table presents the Intangible assets resulting from the Company’s business combinations as of the dates presented:</w:t>
      </w:r>
    </w:p>
    <w:tbl>
      <w:tblPr>
        <w:tblW w:w="8069" w:type="dxa"/>
        <w:jc w:val="left"/>
        <w:tblInd w:w="0" w:type="dxa"/>
        <w:tblLayout w:type="fixed"/>
        <w:tblCellMar>
          <w:top w:w="28" w:type="dxa"/>
          <w:left w:w="28" w:type="dxa"/>
          <w:bottom w:w="28" w:type="dxa"/>
          <w:right w:w="28" w:type="dxa"/>
        </w:tblCellMar>
      </w:tblPr>
      <w:tblGrid>
        <w:gridCol w:w="1482"/>
        <w:gridCol w:w="1305"/>
        <w:gridCol w:w="1308"/>
        <w:gridCol w:w="306"/>
        <w:gridCol w:w="1121"/>
        <w:gridCol w:w="147"/>
        <w:gridCol w:w="109"/>
        <w:gridCol w:w="109"/>
        <w:gridCol w:w="109"/>
        <w:gridCol w:w="373"/>
        <w:gridCol w:w="1366"/>
        <w:gridCol w:w="180"/>
        <w:gridCol w:w="154"/>
      </w:tblGrid>
      <w:tr>
        <w:trPr/>
        <w:tc>
          <w:tcPr>
            <w:tcW w:w="1482"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December 31, 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Open Sans;sans-serif" w:hAnsi="Open Sans;sans-serif"/>
                <w:b/>
                <w:color w:val="000000"/>
                <w:sz w:val="20"/>
              </w:rPr>
            </w:pPr>
            <w:r>
              <w:rPr>
                <w:rFonts w:ascii="Open Sans;sans-serif" w:hAnsi="Open Sans;sans-serif"/>
                <w:b/>
                <w:color w:val="000000"/>
                <w:sz w:val="20"/>
              </w:rPr>
              <w:t>Finite-lived intangible assets:</w:t>
            </w:r>
          </w:p>
        </w:tc>
        <w:tc>
          <w:tcPr>
            <w:tcW w:w="15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Open Sans;sans-serif" w:hAnsi="Open Sans;sans-serif"/>
                <w:b w:val="false"/>
                <w:color w:val="000000"/>
                <w:sz w:val="20"/>
              </w:rPr>
            </w:pPr>
            <w:r>
              <w:rPr>
                <w:rFonts w:ascii="Open Sans;sans-serif" w:hAnsi="Open Sans;sans-serif"/>
                <w:b w:val="false"/>
                <w:color w:val="000000"/>
                <w:sz w:val="20"/>
              </w:rPr>
              <w:t>Developed technology</w:t>
            </w:r>
          </w:p>
        </w:tc>
        <w:tc>
          <w:tcPr>
            <w:tcW w:w="3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1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41,000 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3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41,000 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Open Sans;sans-serif" w:hAnsi="Open Sans;sans-serif"/>
                <w:b w:val="false"/>
                <w:color w:val="000000"/>
                <w:sz w:val="20"/>
              </w:rPr>
              <w:t>Customer relationships</w:t>
            </w:r>
            <w:r>
              <w:rPr>
                <w:color w:val="000000"/>
              </w:rPr>
              <w:t xml:space="preserve"> </w:t>
            </w:r>
            <w:r>
              <w:rPr>
                <w:rFonts w:ascii="Open Sans;sans-serif" w:hAnsi="Open Sans;sans-serif"/>
                <w:b w:val="false"/>
                <w:color w:val="000000"/>
                <w:sz w:val="13"/>
              </w:rPr>
              <w:t>(1)</w:t>
            </w:r>
          </w:p>
        </w:tc>
        <w:tc>
          <w:tcPr>
            <w:tcW w:w="14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6,890 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7,059 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Open Sans;sans-serif" w:hAnsi="Open Sans;sans-serif"/>
                <w:b w:val="false"/>
                <w:color w:val="000000"/>
                <w:sz w:val="20"/>
              </w:rPr>
            </w:pPr>
            <w:r>
              <w:rPr>
                <w:rFonts w:ascii="Open Sans;sans-serif" w:hAnsi="Open Sans;sans-serif"/>
                <w:b w:val="false"/>
                <w:color w:val="000000"/>
                <w:sz w:val="20"/>
              </w:rPr>
              <w:t>Total finite-lived intangible assets, gross</w:t>
            </w:r>
          </w:p>
        </w:tc>
        <w:tc>
          <w:tcPr>
            <w:tcW w:w="14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47,890 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48,059 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Open Sans;sans-serif" w:hAnsi="Open Sans;sans-serif"/>
                <w:b w:val="false"/>
                <w:color w:val="000000"/>
                <w:sz w:val="20"/>
              </w:rPr>
            </w:pPr>
            <w:r>
              <w:rPr>
                <w:rFonts w:ascii="Open Sans;sans-serif" w:hAnsi="Open Sans;sans-serif"/>
                <w:b w:val="false"/>
                <w:color w:val="000000"/>
                <w:sz w:val="20"/>
              </w:rPr>
              <w:t>Accumulated amortization</w:t>
            </w:r>
          </w:p>
        </w:tc>
        <w:tc>
          <w:tcPr>
            <w:tcW w:w="14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(20,844)</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(18,554)</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Open Sans;sans-serif" w:hAnsi="Open Sans;sans-serif"/>
                <w:b w:val="false"/>
                <w:color w:val="000000"/>
                <w:sz w:val="20"/>
              </w:rPr>
            </w:pPr>
            <w:r>
              <w:rPr>
                <w:rFonts w:ascii="Open Sans;sans-serif" w:hAnsi="Open Sans;sans-serif"/>
                <w:b w:val="false"/>
                <w:color w:val="000000"/>
                <w:sz w:val="20"/>
              </w:rPr>
              <w:t>Total finite-lived Intangible assets, net</w:t>
            </w:r>
          </w:p>
        </w:tc>
        <w:tc>
          <w:tcPr>
            <w:tcW w:w="14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27,046 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29,505 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Open Sans;sans-serif" w:hAnsi="Open Sans;sans-serif"/>
                <w:b/>
                <w:color w:val="000000"/>
                <w:sz w:val="20"/>
              </w:rPr>
            </w:pPr>
            <w:r>
              <w:rPr>
                <w:rFonts w:ascii="Open Sans;sans-serif" w:hAnsi="Open Sans;sans-serif"/>
                <w:b/>
                <w:color w:val="000000"/>
                <w:sz w:val="20"/>
              </w:rPr>
              <w:t>Indefinite-lived intangible assets:</w:t>
            </w:r>
          </w:p>
        </w:tc>
        <w:tc>
          <w:tcPr>
            <w:tcW w:w="15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Open Sans;sans-serif" w:hAnsi="Open Sans;sans-serif"/>
                <w:b w:val="false"/>
                <w:color w:val="000000"/>
                <w:sz w:val="20"/>
              </w:rPr>
              <w:t xml:space="preserve">EMI licenses </w:t>
            </w:r>
            <w:r>
              <w:rPr>
                <w:rFonts w:ascii="Open Sans;sans-serif" w:hAnsi="Open Sans;sans-serif"/>
                <w:b w:val="false"/>
                <w:color w:val="000000"/>
                <w:sz w:val="13"/>
              </w:rPr>
              <w:t>(1)</w:t>
            </w:r>
          </w:p>
        </w:tc>
        <w:tc>
          <w:tcPr>
            <w:tcW w:w="14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21,360 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21,883 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Open Sans;sans-serif" w:hAnsi="Open Sans;sans-serif"/>
                <w:b w:val="false"/>
                <w:color w:val="000000"/>
                <w:sz w:val="20"/>
              </w:rPr>
            </w:pPr>
            <w:r>
              <w:rPr>
                <w:rFonts w:ascii="Open Sans;sans-serif" w:hAnsi="Open Sans;sans-serif"/>
                <w:b w:val="false"/>
                <w:color w:val="000000"/>
                <w:sz w:val="20"/>
              </w:rPr>
              <w:t>Total intangible assets, net</w:t>
            </w:r>
          </w:p>
        </w:tc>
        <w:tc>
          <w:tcPr>
            <w:tcW w:w="3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48,406 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3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51,388 </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Open Sans;sans-serif" w:hAnsi="Open Sans;sans-serif"/>
          <w:b w:val="false"/>
          <w:color w:val="000000"/>
          <w:sz w:val="18"/>
        </w:rPr>
      </w:pPr>
      <w:r>
        <w:rPr>
          <w:rFonts w:ascii="Open Sans;sans-serif" w:hAnsi="Open Sans;sans-serif"/>
          <w:b w:val="false"/>
          <w:color w:val="000000"/>
          <w:sz w:val="18"/>
        </w:rPr>
        <w:t xml:space="preserve">(1) The customer relationships and EMI licenses acquired in the TransactPay acquisition are denominated in euros. The changes in the carrying amounts reported for these assets since the acquisition date as of March 31, 2026 and December 31, 2025 are attributable to fluctuations in foreign currency exchange rates. </w:t>
      </w:r>
    </w:p>
    <w:p>
      <w:pPr>
        <w:pStyle w:val="TextBody"/>
        <w:bidi w:val="0"/>
        <w:spacing w:lineRule="auto" w:line="288" w:before="180" w:after="283"/>
        <w:jc w:val="both"/>
        <w:rPr/>
      </w:pPr>
      <w:r>
        <w:rPr>
          <w:rFonts w:ascii="Open Sans;sans-serif" w:hAnsi="Open Sans;sans-serif"/>
          <w:b w:val="false"/>
          <w:color w:val="000000"/>
          <w:sz w:val="20"/>
        </w:rPr>
        <w:t>The amortization period for developed technology and customer relationships intangible assets is 7 years and 2 years, respectively. Amortization expense for intangible assets was $2.3 million</w:t>
      </w:r>
      <w:r>
        <w:rPr>
          <w:color w:val="000000"/>
        </w:rPr>
        <w:t xml:space="preserve"> </w:t>
      </w:r>
      <w:r>
        <w:rPr>
          <w:rFonts w:ascii="Open Sans;sans-serif" w:hAnsi="Open Sans;sans-serif"/>
          <w:b w:val="false"/>
          <w:color w:val="000000"/>
          <w:sz w:val="20"/>
        </w:rPr>
        <w:t>and $1.5 million</w:t>
      </w:r>
      <w:r>
        <w:rPr>
          <w:color w:val="000000"/>
        </w:rPr>
        <w:t xml:space="preserve"> </w:t>
      </w:r>
      <w:r>
        <w:rPr>
          <w:rFonts w:ascii="Open Sans;sans-serif" w:hAnsi="Open Sans;sans-serif"/>
          <w:b w:val="false"/>
          <w:color w:val="000000"/>
          <w:sz w:val="20"/>
        </w:rPr>
        <w:t>for the three months ended March 31, 2026 and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20" w:after="283"/>
        <w:jc w:val="both"/>
        <w:rPr/>
      </w:pPr>
      <w:r>
        <w:rPr>
          <w:rFonts w:ascii="Open Sans;sans-serif" w:hAnsi="Open Sans;sans-serif"/>
          <w:b/>
          <w:color w:val="000000"/>
          <w:sz w:val="20"/>
        </w:rPr>
        <w:t>6.</w:t>
      </w:r>
      <w:r>
        <w:rPr>
          <w:color w:val="000000"/>
        </w:rPr>
        <w:t>    </w:t>
      </w:r>
      <w:r>
        <w:rPr>
          <w:rFonts w:ascii="Open Sans;sans-serif" w:hAnsi="Open Sans;sans-serif"/>
          <w:b/>
          <w:color w:val="000000"/>
          <w:sz w:val="20"/>
        </w:rPr>
        <w:t>Short-term Investments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7955"/>
                <wp:effectExtent l="0" t="0" r="0" b="0"/>
                <wp:wrapNone/>
                <wp:docPr id="13" name="Frame13"/>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13</w:t>
                      </w:r>
                    </w:p>
                  </w:txbxContent>
                </v:textbox>
                <w10:wrap type="none"/>
              </v:rect>
            </w:pict>
          </mc:Fallback>
        </mc:AlternateContent>
      </w:r>
    </w:p>
    <w:p>
      <w:pPr>
        <w:pStyle w:val="TextBody"/>
        <w:bidi w:val="0"/>
        <w:spacing w:lineRule="auto" w:line="288" w:before="0" w:after="60"/>
        <w:jc w:val="left"/>
        <w:rPr/>
      </w:pPr>
      <w:hyperlink w:anchor="i86ce94018fb640d7903f0edbc68bd8af_7">
        <w:r>
          <w:rPr>
            <w:rStyle w:val="InternetLink"/>
            <w:rFonts w:ascii="Open Sans;sans-serif" w:hAnsi="Open Sans;sans-serif"/>
            <w:b w:val="false"/>
            <w:color w:val="0000FF"/>
            <w:sz w:val="18"/>
            <w:u w:val="single"/>
          </w:rPr>
          <w:t>Table of Contents</w:t>
        </w:r>
      </w:hyperlink>
    </w:p>
    <w:p>
      <w:pPr>
        <w:pStyle w:val="TextBody"/>
        <w:bidi w:val="0"/>
        <w:spacing w:lineRule="auto" w:line="288" w:before="120" w:after="120"/>
        <w:jc w:val="both"/>
        <w:rPr>
          <w:rFonts w:ascii="Open Sans;sans-serif" w:hAnsi="Open Sans;sans-serif"/>
          <w:b w:val="false"/>
          <w:color w:val="000000"/>
          <w:sz w:val="20"/>
        </w:rPr>
      </w:pPr>
      <w:r>
        <w:rPr>
          <w:rFonts w:ascii="Open Sans;sans-serif" w:hAnsi="Open Sans;sans-serif"/>
          <w:b w:val="false"/>
          <w:color w:val="000000"/>
          <w:sz w:val="20"/>
        </w:rPr>
        <w:t>The amortized cost, unrealized gain, and estimated fair value of the Company's short-term investments consisted of the following:</w:t>
      </w:r>
    </w:p>
    <w:tbl>
      <w:tblPr>
        <w:tblW w:w="9030" w:type="dxa"/>
        <w:jc w:val="left"/>
        <w:tblInd w:w="0" w:type="dxa"/>
        <w:tblLayout w:type="fixed"/>
        <w:tblCellMar>
          <w:top w:w="28" w:type="dxa"/>
          <w:left w:w="28" w:type="dxa"/>
          <w:bottom w:w="28" w:type="dxa"/>
          <w:right w:w="28" w:type="dxa"/>
        </w:tblCellMar>
      </w:tblPr>
      <w:tblGrid>
        <w:gridCol w:w="1081"/>
        <w:gridCol w:w="950"/>
        <w:gridCol w:w="953"/>
        <w:gridCol w:w="298"/>
        <w:gridCol w:w="1089"/>
        <w:gridCol w:w="143"/>
        <w:gridCol w:w="109"/>
        <w:gridCol w:w="109"/>
        <w:gridCol w:w="109"/>
        <w:gridCol w:w="475"/>
        <w:gridCol w:w="854"/>
        <w:gridCol w:w="231"/>
        <w:gridCol w:w="109"/>
        <w:gridCol w:w="109"/>
        <w:gridCol w:w="109"/>
        <w:gridCol w:w="109"/>
        <w:gridCol w:w="109"/>
        <w:gridCol w:w="390"/>
        <w:gridCol w:w="1428"/>
        <w:gridCol w:w="266"/>
      </w:tblGrid>
      <w:tr>
        <w:trPr/>
        <w:tc>
          <w:tcPr>
            <w:tcW w:w="1081"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3"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March 31, 2026</w:t>
            </w:r>
          </w:p>
        </w:tc>
        <w:tc>
          <w:tcPr>
            <w:tcW w:w="2193" w:type="dxa"/>
            <w:gridSpan w:val="4"/>
            <w:tcBorders/>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Unrealized Gain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Estimated Fair Value</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20"/>
              </w:rPr>
            </w:pPr>
            <w:r>
              <w:rPr>
                <w:rFonts w:ascii="Open Sans;sans-serif" w:hAnsi="Open Sans;sans-serif"/>
                <w:b/>
                <w:color w:val="000000"/>
                <w:sz w:val="20"/>
              </w:rPr>
              <w:t>Short-term Investments</w:t>
            </w:r>
          </w:p>
        </w:tc>
        <w:tc>
          <w:tcPr>
            <w:tcW w:w="15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U.S. treasury securities</w:t>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0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31,988 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33 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4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32,021 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4" w:type="dxa"/>
            <w:gridSpan w:val="3"/>
            <w:tcBorders/>
            <w:vAlign w:val="center"/>
          </w:tcPr>
          <w:p>
            <w:pPr>
              <w:pStyle w:val="TableContents"/>
              <w:bidi w:val="0"/>
              <w:spacing w:before="0" w:after="283"/>
              <w:jc w:val="left"/>
              <w:rPr>
                <w:sz w:val="4"/>
                <w:szCs w:val="4"/>
              </w:rPr>
            </w:pPr>
            <w:r>
              <w:rPr>
                <w:sz w:val="4"/>
                <w:szCs w:val="4"/>
              </w:rPr>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4" w:type="dxa"/>
            <w:gridSpan w:val="3"/>
            <w:tcBorders/>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Asset-backed securities</w:t>
            </w:r>
          </w:p>
        </w:tc>
        <w:tc>
          <w:tcPr>
            <w:tcW w:w="13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5,231 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15 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5,246 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4" w:type="dxa"/>
            <w:gridSpan w:val="3"/>
            <w:tcBorders/>
            <w:vAlign w:val="center"/>
          </w:tcPr>
          <w:p>
            <w:pPr>
              <w:pStyle w:val="TableContents"/>
              <w:bidi w:val="0"/>
              <w:spacing w:before="0" w:after="283"/>
              <w:jc w:val="left"/>
              <w:rPr>
                <w:sz w:val="4"/>
                <w:szCs w:val="4"/>
              </w:rPr>
            </w:pPr>
            <w:r>
              <w:rPr>
                <w:sz w:val="4"/>
                <w:szCs w:val="4"/>
              </w:rPr>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4" w:type="dxa"/>
            <w:gridSpan w:val="3"/>
            <w:tcBorders/>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Total short-term investments</w:t>
            </w:r>
          </w:p>
        </w:tc>
        <w:tc>
          <w:tcPr>
            <w:tcW w:w="2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0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37,219 </w:t>
            </w:r>
          </w:p>
        </w:tc>
        <w:tc>
          <w:tcPr>
            <w:tcW w:w="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48 </w:t>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4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37,267 </w:t>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031" w:type="dxa"/>
        <w:jc w:val="left"/>
        <w:tblInd w:w="0" w:type="dxa"/>
        <w:tblLayout w:type="fixed"/>
        <w:tblCellMar>
          <w:top w:w="28" w:type="dxa"/>
          <w:left w:w="28" w:type="dxa"/>
          <w:bottom w:w="28" w:type="dxa"/>
          <w:right w:w="28" w:type="dxa"/>
        </w:tblCellMar>
      </w:tblPr>
      <w:tblGrid>
        <w:gridCol w:w="1082"/>
        <w:gridCol w:w="949"/>
        <w:gridCol w:w="954"/>
        <w:gridCol w:w="298"/>
        <w:gridCol w:w="1089"/>
        <w:gridCol w:w="143"/>
        <w:gridCol w:w="109"/>
        <w:gridCol w:w="109"/>
        <w:gridCol w:w="109"/>
        <w:gridCol w:w="408"/>
        <w:gridCol w:w="953"/>
        <w:gridCol w:w="199"/>
        <w:gridCol w:w="109"/>
        <w:gridCol w:w="109"/>
        <w:gridCol w:w="109"/>
        <w:gridCol w:w="109"/>
        <w:gridCol w:w="109"/>
        <w:gridCol w:w="390"/>
        <w:gridCol w:w="1428"/>
        <w:gridCol w:w="266"/>
      </w:tblGrid>
      <w:tr>
        <w:trPr/>
        <w:tc>
          <w:tcPr>
            <w:tcW w:w="1082"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3"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December 31, 2025</w:t>
            </w:r>
          </w:p>
        </w:tc>
        <w:tc>
          <w:tcPr>
            <w:tcW w:w="2193" w:type="dxa"/>
            <w:gridSpan w:val="4"/>
            <w:tcBorders/>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Unrealized Gain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Estimated Fair Value</w:t>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20"/>
              </w:rPr>
            </w:pPr>
            <w:r>
              <w:rPr>
                <w:rFonts w:ascii="Open Sans;sans-serif" w:hAnsi="Open Sans;sans-serif"/>
                <w:b/>
                <w:color w:val="000000"/>
                <w:sz w:val="20"/>
              </w:rPr>
              <w:t>Short-term investments</w:t>
            </w:r>
          </w:p>
        </w:tc>
        <w:tc>
          <w:tcPr>
            <w:tcW w:w="15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U.S. treasury securities</w:t>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0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55,955 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132 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4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56,087 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4" w:type="dxa"/>
            <w:gridSpan w:val="3"/>
            <w:tcBorders/>
            <w:vAlign w:val="center"/>
          </w:tcPr>
          <w:p>
            <w:pPr>
              <w:pStyle w:val="TableContents"/>
              <w:bidi w:val="0"/>
              <w:spacing w:before="0" w:after="283"/>
              <w:jc w:val="left"/>
              <w:rPr>
                <w:sz w:val="4"/>
                <w:szCs w:val="4"/>
              </w:rPr>
            </w:pPr>
            <w:r>
              <w:rPr>
                <w:sz w:val="4"/>
                <w:szCs w:val="4"/>
              </w:rPr>
            </w:r>
          </w:p>
        </w:tc>
      </w:tr>
      <w:tr>
        <w:trPr/>
        <w:tc>
          <w:tcPr>
            <w:tcW w:w="2985"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4" w:type="dxa"/>
            <w:gridSpan w:val="3"/>
            <w:tcBorders/>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Asset-backed securities</w:t>
            </w:r>
          </w:p>
        </w:tc>
        <w:tc>
          <w:tcPr>
            <w:tcW w:w="13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6,364 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32 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6,396 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4" w:type="dxa"/>
            <w:gridSpan w:val="3"/>
            <w:tcBorders/>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Total short-term investments</w:t>
            </w:r>
          </w:p>
        </w:tc>
        <w:tc>
          <w:tcPr>
            <w:tcW w:w="2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0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62,319 </w:t>
            </w:r>
          </w:p>
        </w:tc>
        <w:tc>
          <w:tcPr>
            <w:tcW w:w="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164 </w:t>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4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62,483 </w:t>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Open Sans;sans-serif" w:hAnsi="Open Sans;sans-serif"/>
          <w:b w:val="false"/>
          <w:color w:val="000000"/>
          <w:sz w:val="20"/>
        </w:rPr>
      </w:pPr>
      <w:r>
        <w:rPr>
          <w:rFonts w:ascii="Open Sans;sans-serif" w:hAnsi="Open Sans;sans-serif"/>
          <w:b w:val="false"/>
          <w:color w:val="000000"/>
          <w:sz w:val="20"/>
        </w:rPr>
        <w:t>The Company did not have any short-term investments in unrealized loss positions as of March 31, 2026 and December 31, 2025. Generally, the Company does not intend to sell short-term investments that have unrealized losses, and does not anticipate that it is more likely than not that it will be required to sell such securities before any anticipated recovery of the entire amortized cost basis.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There were no realized gains or losses from short-term investments that were reclassified out of accumulated other comprehensive income (loss) for both the three months ended March 31, 2026 and 2025. The Company determined there were no material credit or non-credit related impairments as of March 31, 2026 and December 31, 2025.</w:t>
      </w:r>
    </w:p>
    <w:p>
      <w:pPr>
        <w:pStyle w:val="TextBody"/>
        <w:bidi w:val="0"/>
        <w:spacing w:lineRule="auto" w:line="288" w:before="240" w:after="283"/>
        <w:jc w:val="both"/>
        <w:rPr>
          <w:rFonts w:ascii="Open Sans;sans-serif" w:hAnsi="Open Sans;sans-serif"/>
          <w:b w:val="false"/>
          <w:color w:val="000000"/>
          <w:sz w:val="20"/>
        </w:rPr>
      </w:pPr>
      <w:r>
        <w:rPr>
          <w:rFonts w:ascii="Open Sans;sans-serif" w:hAnsi="Open Sans;sans-serif"/>
          <w:b w:val="false"/>
          <w:color w:val="000000"/>
          <w:sz w:val="20"/>
        </w:rPr>
        <w:t>The following table summarizes the stated maturities of the Company’s short-term investments:</w:t>
      </w:r>
    </w:p>
    <w:tbl>
      <w:tblPr>
        <w:tblW w:w="10205" w:type="dxa"/>
        <w:jc w:val="left"/>
        <w:tblInd w:w="0" w:type="dxa"/>
        <w:tblLayout w:type="fixed"/>
        <w:tblCellMar>
          <w:top w:w="28" w:type="dxa"/>
          <w:left w:w="28" w:type="dxa"/>
          <w:bottom w:w="28" w:type="dxa"/>
          <w:right w:w="28" w:type="dxa"/>
        </w:tblCellMar>
      </w:tblPr>
      <w:tblGrid>
        <w:gridCol w:w="1060"/>
        <w:gridCol w:w="887"/>
        <w:gridCol w:w="895"/>
        <w:gridCol w:w="274"/>
        <w:gridCol w:w="1004"/>
        <w:gridCol w:w="132"/>
        <w:gridCol w:w="109"/>
        <w:gridCol w:w="109"/>
        <w:gridCol w:w="109"/>
        <w:gridCol w:w="341"/>
        <w:gridCol w:w="1250"/>
        <w:gridCol w:w="164"/>
        <w:gridCol w:w="109"/>
        <w:gridCol w:w="109"/>
        <w:gridCol w:w="109"/>
        <w:gridCol w:w="274"/>
        <w:gridCol w:w="1004"/>
        <w:gridCol w:w="132"/>
        <w:gridCol w:w="109"/>
        <w:gridCol w:w="109"/>
        <w:gridCol w:w="109"/>
        <w:gridCol w:w="337"/>
        <w:gridCol w:w="1234"/>
        <w:gridCol w:w="236"/>
      </w:tblGrid>
      <w:tr>
        <w:trPr/>
        <w:tc>
          <w:tcPr>
            <w:tcW w:w="1060"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2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December 31, 2025</w:t>
            </w:r>
          </w:p>
        </w:tc>
      </w:tr>
      <w:tr>
        <w:trPr/>
        <w:tc>
          <w:tcPr>
            <w:tcW w:w="2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Estimated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Estimated Fair Value</w:t>
            </w:r>
          </w:p>
        </w:tc>
      </w:tr>
      <w:tr>
        <w:trPr/>
        <w:tc>
          <w:tcPr>
            <w:tcW w:w="28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Due within one year</w:t>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0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33,897 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2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33,937 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0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55,955 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2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56,087 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Due after one year through five years</w:t>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3,322 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3,330 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6,364 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6,396 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Total</w:t>
            </w:r>
          </w:p>
        </w:tc>
        <w:tc>
          <w:tcPr>
            <w:tcW w:w="2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0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37,219 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37,267 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0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62,319 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62,483 </w:t>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842"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7" w:type="dxa"/>
            <w:gridSpan w:val="3"/>
            <w:tcBorders/>
            <w:vAlign w:val="center"/>
          </w:tcPr>
          <w:p>
            <w:pPr>
              <w:pStyle w:val="TableContents"/>
              <w:bidi w:val="0"/>
              <w:spacing w:before="0" w:after="283"/>
              <w:jc w:val="left"/>
              <w:rPr>
                <w:sz w:val="4"/>
                <w:szCs w:val="4"/>
              </w:rPr>
            </w:pPr>
            <w:r>
              <w:rPr>
                <w:sz w:val="4"/>
                <w:szCs w:val="4"/>
              </w:rPr>
            </w:r>
          </w:p>
        </w:tc>
      </w:tr>
      <w:tr>
        <w:trPr/>
        <w:tc>
          <w:tcPr>
            <w:tcW w:w="2842"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7" w:type="dxa"/>
            <w:gridSpan w:val="3"/>
            <w:tcBorders/>
            <w:vAlign w:val="center"/>
          </w:tcPr>
          <w:p>
            <w:pPr>
              <w:pStyle w:val="TableContents"/>
              <w:bidi w:val="0"/>
              <w:spacing w:before="0" w:after="283"/>
              <w:jc w:val="left"/>
              <w:rPr>
                <w:sz w:val="4"/>
                <w:szCs w:val="4"/>
              </w:rPr>
            </w:pPr>
            <w:r>
              <w:rPr>
                <w:sz w:val="4"/>
                <w:szCs w:val="4"/>
              </w:rPr>
            </w:r>
          </w:p>
        </w:tc>
      </w:tr>
      <w:tr>
        <w:trPr/>
        <w:tc>
          <w:tcPr>
            <w:tcW w:w="2842"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7"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7955"/>
                <wp:effectExtent l="0" t="0" r="0" b="0"/>
                <wp:wrapNone/>
                <wp:docPr id="14" name="Frame14"/>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14</w:t>
                      </w:r>
                    </w:p>
                  </w:txbxContent>
                </v:textbox>
                <w10:wrap type="none"/>
              </v:rect>
            </w:pict>
          </mc:Fallback>
        </mc:AlternateContent>
      </w:r>
    </w:p>
    <w:p>
      <w:pPr>
        <w:pStyle w:val="TextBody"/>
        <w:bidi w:val="0"/>
        <w:spacing w:lineRule="auto" w:line="288" w:before="0" w:after="60"/>
        <w:jc w:val="left"/>
        <w:rPr/>
      </w:pPr>
      <w:hyperlink w:anchor="i86ce94018fb640d7903f0edbc68bd8af_7">
        <w:r>
          <w:rPr>
            <w:rStyle w:val="InternetLink"/>
            <w:rFonts w:ascii="Open Sans;sans-serif" w:hAnsi="Open Sans;sans-serif"/>
            <w:b w:val="false"/>
            <w:color w:val="0000FF"/>
            <w:sz w:val="18"/>
            <w:u w:val="single"/>
          </w:rPr>
          <w:t>Table of Contents</w:t>
        </w:r>
      </w:hyperlink>
    </w:p>
    <w:p>
      <w:pPr>
        <w:pStyle w:val="TextBody"/>
        <w:bidi w:val="0"/>
        <w:spacing w:lineRule="auto" w:line="288" w:before="420" w:after="283"/>
        <w:jc w:val="left"/>
        <w:rPr>
          <w:rFonts w:ascii="Open Sans;sans-serif" w:hAnsi="Open Sans;sans-serif"/>
          <w:b/>
          <w:color w:val="000000"/>
          <w:sz w:val="20"/>
        </w:rPr>
      </w:pPr>
      <w:r>
        <w:rPr>
          <w:rFonts w:ascii="Open Sans;sans-serif" w:hAnsi="Open Sans;sans-serif"/>
          <w:b/>
          <w:color w:val="000000"/>
          <w:sz w:val="20"/>
        </w:rPr>
        <w:t>7.    Fair Value Measurements</w:t>
      </w:r>
    </w:p>
    <w:p>
      <w:pPr>
        <w:pStyle w:val="TextBody"/>
        <w:bidi w:val="0"/>
        <w:spacing w:lineRule="auto" w:line="288" w:before="180" w:after="120"/>
        <w:jc w:val="both"/>
        <w:rPr>
          <w:rFonts w:ascii="Open Sans;sans-serif" w:hAnsi="Open Sans;sans-serif"/>
          <w:b w:val="false"/>
          <w:color w:val="000000"/>
          <w:sz w:val="20"/>
        </w:rPr>
      </w:pPr>
      <w:r>
        <w:rPr>
          <w:rFonts w:ascii="Open Sans;sans-serif" w:hAnsi="Open Sans;sans-serif"/>
          <w:b w:val="false"/>
          <w:color w:val="000000"/>
          <w:sz w:val="20"/>
        </w:rPr>
        <w:t>The following tables present the fair value hierarchy for assets and liabilities measured at fair value:</w:t>
      </w:r>
    </w:p>
    <w:tbl>
      <w:tblPr>
        <w:tblW w:w="9407" w:type="dxa"/>
        <w:jc w:val="left"/>
        <w:tblInd w:w="0" w:type="dxa"/>
        <w:tblLayout w:type="fixed"/>
        <w:tblCellMar>
          <w:top w:w="28" w:type="dxa"/>
          <w:left w:w="28" w:type="dxa"/>
          <w:bottom w:w="28" w:type="dxa"/>
          <w:right w:w="28" w:type="dxa"/>
        </w:tblCellMar>
      </w:tblPr>
      <w:tblGrid>
        <w:gridCol w:w="1299"/>
        <w:gridCol w:w="1141"/>
        <w:gridCol w:w="1145"/>
        <w:gridCol w:w="226"/>
        <w:gridCol w:w="946"/>
        <w:gridCol w:w="109"/>
        <w:gridCol w:w="109"/>
        <w:gridCol w:w="109"/>
        <w:gridCol w:w="109"/>
        <w:gridCol w:w="226"/>
        <w:gridCol w:w="826"/>
        <w:gridCol w:w="109"/>
        <w:gridCol w:w="109"/>
        <w:gridCol w:w="109"/>
        <w:gridCol w:w="109"/>
        <w:gridCol w:w="233"/>
        <w:gridCol w:w="419"/>
        <w:gridCol w:w="112"/>
        <w:gridCol w:w="109"/>
        <w:gridCol w:w="109"/>
        <w:gridCol w:w="109"/>
        <w:gridCol w:w="278"/>
        <w:gridCol w:w="1167"/>
        <w:gridCol w:w="190"/>
      </w:tblGrid>
      <w:tr>
        <w:trPr/>
        <w:tc>
          <w:tcPr>
            <w:tcW w:w="1299"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March 31, 2026</w:t>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Total Fair Value</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20"/>
              </w:rPr>
            </w:pPr>
            <w:r>
              <w:rPr>
                <w:rFonts w:ascii="Open Sans;sans-serif" w:hAnsi="Open Sans;sans-serif"/>
                <w:b/>
                <w:color w:val="000000"/>
                <w:sz w:val="20"/>
              </w:rPr>
              <w:t>Cash equivalents</w:t>
            </w:r>
          </w:p>
        </w:tc>
        <w:tc>
          <w:tcPr>
            <w:tcW w:w="12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U.S. treasury bills</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223,769 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4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1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223,769 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Money market funds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99,159 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99,159 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Commercial paper</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46,145 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46,145 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Certificates of deposit</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33,302 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33,302 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Corporate debt securities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8,612 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8,612 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20"/>
              </w:rPr>
            </w:pPr>
            <w:r>
              <w:rPr>
                <w:rFonts w:ascii="Open Sans;sans-serif" w:hAnsi="Open Sans;sans-serif"/>
                <w:b/>
                <w:color w:val="000000"/>
                <w:sz w:val="20"/>
              </w:rPr>
              <w:t>Short-term investments</w:t>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U.S. treasury securities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32,021 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32,021 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Asset-backed securities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5,246 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5,246 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color w:val="000000"/>
                <w:sz w:val="20"/>
              </w:rPr>
            </w:pPr>
            <w:r>
              <w:rPr>
                <w:rFonts w:ascii="Open Sans;sans-serif" w:hAnsi="Open Sans;sans-serif"/>
                <w:b/>
                <w:color w:val="000000"/>
                <w:sz w:val="20"/>
              </w:rPr>
              <w:t>Restricted cash</w:t>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Money market funds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48,340 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48,340 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Total assets measured at fair value</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403,289 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93,305 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4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496,594 </w:t>
            </w:r>
          </w:p>
        </w:tc>
        <w:tc>
          <w:tcPr>
            <w:tcW w:w="1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bl>
    <w:tbl>
      <w:tblPr>
        <w:tblW w:w="9407" w:type="dxa"/>
        <w:jc w:val="left"/>
        <w:tblInd w:w="0" w:type="dxa"/>
        <w:tblLayout w:type="fixed"/>
        <w:tblCellMar>
          <w:top w:w="28" w:type="dxa"/>
          <w:left w:w="28" w:type="dxa"/>
          <w:bottom w:w="28" w:type="dxa"/>
          <w:right w:w="28" w:type="dxa"/>
        </w:tblCellMar>
      </w:tblPr>
      <w:tblGrid>
        <w:gridCol w:w="1299"/>
        <w:gridCol w:w="1141"/>
        <w:gridCol w:w="1145"/>
        <w:gridCol w:w="226"/>
        <w:gridCol w:w="946"/>
        <w:gridCol w:w="109"/>
        <w:gridCol w:w="109"/>
        <w:gridCol w:w="109"/>
        <w:gridCol w:w="109"/>
        <w:gridCol w:w="226"/>
        <w:gridCol w:w="826"/>
        <w:gridCol w:w="109"/>
        <w:gridCol w:w="109"/>
        <w:gridCol w:w="109"/>
        <w:gridCol w:w="109"/>
        <w:gridCol w:w="233"/>
        <w:gridCol w:w="419"/>
        <w:gridCol w:w="112"/>
        <w:gridCol w:w="109"/>
        <w:gridCol w:w="109"/>
        <w:gridCol w:w="109"/>
        <w:gridCol w:w="278"/>
        <w:gridCol w:w="1167"/>
        <w:gridCol w:w="190"/>
      </w:tblGrid>
      <w:tr>
        <w:trPr/>
        <w:tc>
          <w:tcPr>
            <w:tcW w:w="1299"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December 31, 2025</w:t>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Total Fair Value</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20"/>
              </w:rPr>
            </w:pPr>
            <w:r>
              <w:rPr>
                <w:rFonts w:ascii="Open Sans;sans-serif" w:hAnsi="Open Sans;sans-serif"/>
                <w:b/>
                <w:color w:val="000000"/>
                <w:sz w:val="20"/>
              </w:rPr>
              <w:t>Cash equivalents</w:t>
            </w:r>
          </w:p>
        </w:tc>
        <w:tc>
          <w:tcPr>
            <w:tcW w:w="12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U.S. treasury bills</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292,381 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4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1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292,381 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Money market funds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96,042 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96,042 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Commercial paper</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41,450 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41,450 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Certificates of deposit</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35,213 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35,213 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Corporate debt securities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16,059 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16,059 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20"/>
              </w:rPr>
            </w:pPr>
            <w:r>
              <w:rPr>
                <w:rFonts w:ascii="Open Sans;sans-serif" w:hAnsi="Open Sans;sans-serif"/>
                <w:b/>
                <w:color w:val="000000"/>
                <w:sz w:val="20"/>
              </w:rPr>
              <w:t>Short-term investments</w:t>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U.S. treasury securities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56,087 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56,087 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Asset-backed securities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6,396 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6,396 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20"/>
              </w:rPr>
            </w:pPr>
            <w:r>
              <w:rPr>
                <w:rFonts w:ascii="Open Sans;sans-serif" w:hAnsi="Open Sans;sans-serif"/>
                <w:b/>
                <w:color w:val="000000"/>
                <w:sz w:val="20"/>
              </w:rPr>
              <w:t>Restricted cash</w:t>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Money market funds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45,786 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45,786 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Total assets measured at fair value</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490,296 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99,118 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4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589,414 </w:t>
            </w:r>
          </w:p>
        </w:tc>
        <w:tc>
          <w:tcPr>
            <w:tcW w:w="1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Open Sans;sans-serif" w:hAnsi="Open Sans;sans-serif"/>
          <w:b w:val="false"/>
          <w:color w:val="000000"/>
          <w:sz w:val="20"/>
        </w:rPr>
      </w:pPr>
      <w:r>
        <w:rPr>
          <w:rFonts w:ascii="Open Sans;sans-serif" w:hAnsi="Open Sans;sans-serif"/>
          <w:b w:val="false"/>
          <w:color w:val="000000"/>
          <w:sz w:val="20"/>
        </w:rPr>
        <w:t xml:space="preserve">The Company classifies money market funds, U.S. treasury bills, commercial paper, certificates of deposit, U.S. treasury securities, asset-backed securities, and corporate debt securities within Level 1 or Level 2 of the fair value hierarchy because the Company values these investments using quoted market prices or alternative pricing sources and models utilizing market observable inputs. </w:t>
      </w:r>
    </w:p>
    <w:p>
      <w:pPr>
        <w:pStyle w:val="TextBody"/>
        <w:bidi w:val="0"/>
        <w:spacing w:lineRule="auto" w:line="288" w:before="240" w:after="283"/>
        <w:jc w:val="both"/>
        <w:rPr>
          <w:rFonts w:ascii="Open Sans;sans-serif" w:hAnsi="Open Sans;sans-serif"/>
          <w:b w:val="false"/>
          <w:color w:val="000000"/>
          <w:sz w:val="20"/>
        </w:rPr>
      </w:pPr>
      <w:r>
        <w:rPr>
          <w:rFonts w:ascii="Open Sans;sans-serif" w:hAnsi="Open Sans;sans-serif"/>
          <w:b w:val="false"/>
          <w:color w:val="000000"/>
          <w:sz w:val="20"/>
        </w:rPr>
        <w:t>There were no transfers of financial instruments between the fair value hierarchy levels during the three months ended March 31, 2026, or the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7955"/>
                <wp:effectExtent l="0" t="0" r="0" b="0"/>
                <wp:wrapNone/>
                <wp:docPr id="15" name="Frame15"/>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15</w:t>
                      </w:r>
                    </w:p>
                  </w:txbxContent>
                </v:textbox>
                <w10:wrap type="none"/>
              </v:rect>
            </w:pict>
          </mc:Fallback>
        </mc:AlternateContent>
      </w:r>
    </w:p>
    <w:p>
      <w:pPr>
        <w:pStyle w:val="TextBody"/>
        <w:bidi w:val="0"/>
        <w:spacing w:lineRule="auto" w:line="288" w:before="0" w:after="60"/>
        <w:jc w:val="left"/>
        <w:rPr/>
      </w:pPr>
      <w:hyperlink w:anchor="i86ce94018fb640d7903f0edbc68bd8af_7">
        <w:r>
          <w:rPr>
            <w:rStyle w:val="InternetLink"/>
            <w:rFonts w:ascii="Open Sans;sans-serif" w:hAnsi="Open Sans;sans-serif"/>
            <w:b w:val="false"/>
            <w:color w:val="0000FF"/>
            <w:sz w:val="18"/>
            <w:u w:val="single"/>
          </w:rPr>
          <w:t>Table of Contents</w:t>
        </w:r>
      </w:hyperlink>
    </w:p>
    <w:p>
      <w:pPr>
        <w:pStyle w:val="TextBody"/>
        <w:bidi w:val="0"/>
        <w:spacing w:lineRule="auto" w:line="288" w:before="420" w:after="283"/>
        <w:jc w:val="both"/>
        <w:rPr>
          <w:rFonts w:ascii="Open Sans;sans-serif" w:hAnsi="Open Sans;sans-serif"/>
          <w:b/>
          <w:color w:val="000000"/>
          <w:sz w:val="20"/>
        </w:rPr>
      </w:pPr>
      <w:r>
        <w:rPr>
          <w:rFonts w:ascii="Open Sans;sans-serif" w:hAnsi="Open Sans;sans-serif"/>
          <w:b/>
          <w:color w:val="000000"/>
          <w:sz w:val="20"/>
        </w:rPr>
        <w:t>8.    Certain Balance Sheet Components</w:t>
      </w:r>
    </w:p>
    <w:p>
      <w:pPr>
        <w:pStyle w:val="TextBody"/>
        <w:bidi w:val="0"/>
        <w:spacing w:lineRule="auto" w:line="288" w:before="240" w:after="283"/>
        <w:jc w:val="both"/>
        <w:rPr>
          <w:rFonts w:ascii="Open Sans;sans-serif" w:hAnsi="Open Sans;sans-serif"/>
          <w:b/>
          <w:i/>
          <w:color w:val="000000"/>
          <w:sz w:val="20"/>
        </w:rPr>
      </w:pPr>
      <w:r>
        <w:rPr>
          <w:rFonts w:ascii="Open Sans;sans-serif" w:hAnsi="Open Sans;sans-serif"/>
          <w:b/>
          <w:i/>
          <w:color w:val="000000"/>
          <w:sz w:val="20"/>
        </w:rPr>
        <w:t>Property and Equipment, net</w:t>
      </w:r>
    </w:p>
    <w:p>
      <w:pPr>
        <w:pStyle w:val="TextBody"/>
        <w:bidi w:val="0"/>
        <w:spacing w:lineRule="auto" w:line="288" w:before="120" w:after="120"/>
        <w:jc w:val="both"/>
        <w:rPr>
          <w:rFonts w:ascii="Open Sans;sans-serif" w:hAnsi="Open Sans;sans-serif"/>
          <w:b w:val="false"/>
          <w:color w:val="000000"/>
          <w:sz w:val="20"/>
        </w:rPr>
      </w:pPr>
      <w:r>
        <w:rPr>
          <w:rFonts w:ascii="Open Sans;sans-serif" w:hAnsi="Open Sans;sans-serif"/>
          <w:b w:val="false"/>
          <w:color w:val="000000"/>
          <w:sz w:val="20"/>
        </w:rPr>
        <w:t>Property and equipment consisted of the following:</w:t>
      </w:r>
    </w:p>
    <w:tbl>
      <w:tblPr>
        <w:tblW w:w="7443" w:type="dxa"/>
        <w:jc w:val="left"/>
        <w:tblInd w:w="0" w:type="dxa"/>
        <w:tblLayout w:type="fixed"/>
        <w:tblCellMar>
          <w:top w:w="28" w:type="dxa"/>
          <w:left w:w="28" w:type="dxa"/>
          <w:bottom w:w="28" w:type="dxa"/>
          <w:right w:w="28" w:type="dxa"/>
        </w:tblCellMar>
      </w:tblPr>
      <w:tblGrid>
        <w:gridCol w:w="1640"/>
        <w:gridCol w:w="1441"/>
        <w:gridCol w:w="1449"/>
        <w:gridCol w:w="226"/>
        <w:gridCol w:w="826"/>
        <w:gridCol w:w="109"/>
        <w:gridCol w:w="109"/>
        <w:gridCol w:w="109"/>
        <w:gridCol w:w="109"/>
        <w:gridCol w:w="267"/>
        <w:gridCol w:w="976"/>
        <w:gridCol w:w="182"/>
      </w:tblGrid>
      <w:tr>
        <w:trPr/>
        <w:tc>
          <w:tcPr>
            <w:tcW w:w="1640"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144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December 31,</w:t>
              <w:br/>
              <w:t>2025</w:t>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Internally developed and purchased software</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96,161 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86,435 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Computer equipment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9,362 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9,678 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Leasehold improvements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5,846 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9,666 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Furniture and fixtures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1,321 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2,442 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Total property and equipment, gross</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112,690 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108,221 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Accumulated depreciation and amortization</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(48,771)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(48,311)</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Property and equipment, net</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63,919 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59,910 </w:t>
            </w:r>
          </w:p>
        </w:tc>
        <w:tc>
          <w:tcPr>
            <w:tcW w:w="1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Open Sans;sans-serif" w:hAnsi="Open Sans;sans-serif"/>
          <w:b w:val="false"/>
          <w:color w:val="000000"/>
          <w:sz w:val="20"/>
        </w:rPr>
      </w:pPr>
      <w:r>
        <w:rPr>
          <w:rFonts w:ascii="Open Sans;sans-serif" w:hAnsi="Open Sans;sans-serif"/>
          <w:b w:val="false"/>
          <w:color w:val="000000"/>
          <w:sz w:val="20"/>
        </w:rPr>
        <w:t>Depreciation and amortization expense related to property and equipment was $6.5 million and $3.9 million for the three months ended March 31, 2026 and 2025, respectively.</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The Company capitalized $10.7 million and $8.6 million as internal-use software development costs during the three months ended March 31, 2026, and 2025, respectively.</w:t>
      </w:r>
    </w:p>
    <w:p>
      <w:pPr>
        <w:pStyle w:val="TextBody"/>
        <w:bidi w:val="0"/>
        <w:spacing w:before="120" w:after="283"/>
        <w:jc w:val="both"/>
        <w:rPr/>
      </w:pPr>
      <w:r>
        <w:rPr/>
      </w:r>
    </w:p>
    <w:p>
      <w:pPr>
        <w:pStyle w:val="TextBody"/>
        <w:bidi w:val="0"/>
        <w:spacing w:lineRule="auto" w:line="288" w:before="0" w:after="0"/>
        <w:jc w:val="left"/>
        <w:rPr>
          <w:rFonts w:ascii="Open Sans;sans-serif" w:hAnsi="Open Sans;sans-serif"/>
          <w:b/>
          <w:i/>
          <w:color w:val="000000"/>
          <w:sz w:val="20"/>
        </w:rPr>
      </w:pPr>
      <w:r>
        <w:rPr>
          <w:rFonts w:ascii="Open Sans;sans-serif" w:hAnsi="Open Sans;sans-serif"/>
          <w:b/>
          <w:i/>
          <w:color w:val="000000"/>
          <w:sz w:val="20"/>
        </w:rPr>
        <w:t>Accrued Expenses and Other Current Liabilities</w:t>
      </w:r>
    </w:p>
    <w:p>
      <w:pPr>
        <w:pStyle w:val="TextBody"/>
        <w:bidi w:val="0"/>
        <w:spacing w:before="0" w:after="0"/>
        <w:jc w:val="left"/>
        <w:rPr/>
      </w:pPr>
      <w:r>
        <w:rPr/>
      </w:r>
    </w:p>
    <w:p>
      <w:pPr>
        <w:pStyle w:val="TextBody"/>
        <w:bidi w:val="0"/>
        <w:spacing w:lineRule="auto" w:line="288" w:before="0" w:after="0"/>
        <w:jc w:val="left"/>
        <w:rPr>
          <w:rFonts w:ascii="Open Sans;sans-serif" w:hAnsi="Open Sans;sans-serif"/>
          <w:b w:val="false"/>
          <w:color w:val="000000"/>
          <w:sz w:val="20"/>
        </w:rPr>
      </w:pPr>
      <w:r>
        <w:rPr>
          <w:rFonts w:ascii="Open Sans;sans-serif" w:hAnsi="Open Sans;sans-serif"/>
          <w:b w:val="false"/>
          <w:color w:val="000000"/>
          <w:sz w:val="20"/>
        </w:rPr>
        <w:t>Accrued expenses and other current liabilities consisted of the following:</w:t>
      </w:r>
    </w:p>
    <w:p>
      <w:pPr>
        <w:pStyle w:val="TextBody"/>
        <w:bidi w:val="0"/>
        <w:spacing w:before="0" w:after="0"/>
        <w:jc w:val="left"/>
        <w:rPr/>
      </w:pPr>
      <w:r>
        <w:rPr/>
      </w:r>
    </w:p>
    <w:tbl>
      <w:tblPr>
        <w:tblW w:w="7978" w:type="dxa"/>
        <w:jc w:val="left"/>
        <w:tblInd w:w="0" w:type="dxa"/>
        <w:tblLayout w:type="fixed"/>
        <w:tblCellMar>
          <w:top w:w="28" w:type="dxa"/>
          <w:left w:w="28" w:type="dxa"/>
          <w:bottom w:w="28" w:type="dxa"/>
          <w:right w:w="28" w:type="dxa"/>
        </w:tblCellMar>
      </w:tblPr>
      <w:tblGrid>
        <w:gridCol w:w="1675"/>
        <w:gridCol w:w="1467"/>
        <w:gridCol w:w="1477"/>
        <w:gridCol w:w="226"/>
        <w:gridCol w:w="946"/>
        <w:gridCol w:w="109"/>
        <w:gridCol w:w="109"/>
        <w:gridCol w:w="109"/>
        <w:gridCol w:w="109"/>
        <w:gridCol w:w="243"/>
        <w:gridCol w:w="1019"/>
        <w:gridCol w:w="117"/>
        <w:gridCol w:w="109"/>
        <w:gridCol w:w="109"/>
        <w:gridCol w:w="154"/>
      </w:tblGrid>
      <w:tr>
        <w:trPr/>
        <w:tc>
          <w:tcPr>
            <w:tcW w:w="1675"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December 31,</w:t>
              <w:br/>
              <w:t>2025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Accrued costs of revenue</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106,597 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0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103,882 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Accrued compensation and benefits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18,312 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47,702 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Deferred revenue</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8,698 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11,762 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Accrued tax liabilities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8,731 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8,966 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Due to Issuing Banks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7,721 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7,721 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Contingent consideration liability (see Note 4)</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2,729 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3,677 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Operating lease liabilities, current portion</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2,563 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3,022 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Holdback consideration liability</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2,297 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2,353 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Accrued professional services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1,550 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2,308 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Other accrued liabilities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20,707 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24,400 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Accrued expenses and other current liabilities</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179,905 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0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215,793 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20" w:after="283"/>
        <w:jc w:val="left"/>
        <w:rPr>
          <w:rFonts w:ascii="Open Sans;sans-serif" w:hAnsi="Open Sans;sans-serif"/>
          <w:b/>
          <w:color w:val="000000"/>
          <w:sz w:val="20"/>
        </w:rPr>
      </w:pPr>
      <w:r>
        <w:rPr>
          <w:rFonts w:ascii="Open Sans;sans-serif" w:hAnsi="Open Sans;sans-serif"/>
          <w:b/>
          <w:color w:val="000000"/>
          <w:sz w:val="20"/>
        </w:rPr>
        <w:t>9.    Commitments and Contingencies</w:t>
      </w:r>
    </w:p>
    <w:p>
      <w:pPr>
        <w:pStyle w:val="TextBody"/>
        <w:bidi w:val="0"/>
        <w:spacing w:lineRule="auto" w:line="288" w:before="120" w:after="283"/>
        <w:jc w:val="both"/>
        <w:rPr>
          <w:rFonts w:ascii="Open Sans;sans-serif" w:hAnsi="Open Sans;sans-serif"/>
          <w:b/>
          <w:i/>
          <w:color w:val="000000"/>
          <w:sz w:val="20"/>
        </w:rPr>
      </w:pPr>
      <w:r>
        <w:rPr>
          <w:rFonts w:ascii="Open Sans;sans-serif" w:hAnsi="Open Sans;sans-serif"/>
          <w:b/>
          <w:i/>
          <w:color w:val="000000"/>
          <w:sz w:val="20"/>
        </w:rPr>
        <w:t>Letter of Credit and Restricted Cash</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 xml:space="preserve">In connection with the Oakland lease, the Company is required to provide the landlord a $0.9 million letter of credit. The Company has secured this letter of credit by depositing $0.9 million with the issuing financial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7955"/>
                <wp:effectExtent l="0" t="0" r="0" b="0"/>
                <wp:wrapNone/>
                <wp:docPr id="16" name="Frame16"/>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16</w:t>
                      </w:r>
                    </w:p>
                  </w:txbxContent>
                </v:textbox>
                <w10:wrap type="none"/>
              </v:rect>
            </w:pict>
          </mc:Fallback>
        </mc:AlternateContent>
      </w:r>
    </w:p>
    <w:p>
      <w:pPr>
        <w:pStyle w:val="TextBody"/>
        <w:bidi w:val="0"/>
        <w:spacing w:lineRule="auto" w:line="288" w:before="0" w:after="60"/>
        <w:jc w:val="left"/>
        <w:rPr/>
      </w:pPr>
      <w:hyperlink w:anchor="i86ce94018fb640d7903f0edbc68bd8af_7">
        <w:r>
          <w:rPr>
            <w:rStyle w:val="InternetLink"/>
            <w:rFonts w:ascii="Open Sans;sans-serif" w:hAnsi="Open Sans;sans-serif"/>
            <w:b w:val="false"/>
            <w:color w:val="0000FF"/>
            <w:sz w:val="18"/>
            <w:u w:val="single"/>
          </w:rPr>
          <w:t>Table of Contents</w:t>
        </w:r>
      </w:hyperlink>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 xml:space="preserve">institution. This amount is classified as restricted cash and recorded in other assets on the Condensed Consolidated Balance Sheets. </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 xml:space="preserve">As of March 31, 2026, the balance of restricted cash associated with these customer funds was $280.3 million, of which $48.3 million is invested in money market funds. </w:t>
      </w:r>
    </w:p>
    <w:p>
      <w:pPr>
        <w:pStyle w:val="TextBody"/>
        <w:bidi w:val="0"/>
        <w:spacing w:lineRule="auto" w:line="288" w:before="240" w:after="283"/>
        <w:jc w:val="both"/>
        <w:rPr>
          <w:rFonts w:ascii="Open Sans;sans-serif" w:hAnsi="Open Sans;sans-serif"/>
          <w:b/>
          <w:i/>
          <w:color w:val="000000"/>
          <w:sz w:val="20"/>
        </w:rPr>
      </w:pPr>
      <w:r>
        <w:rPr>
          <w:rFonts w:ascii="Open Sans;sans-serif" w:hAnsi="Open Sans;sans-serif"/>
          <w:b/>
          <w:i/>
          <w:color w:val="000000"/>
          <w:sz w:val="20"/>
        </w:rPr>
        <w:t>Legal Contingencies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From time to time in the normal course of business, the Company may be subject to various legal matters such as threatened or pending claims or proceedings. Given the unpredictable nature of legal proceedings, the Company bases its assessment on the information available at the time the financials are available to be issued. As additional information becomes available, the Company reassesses the probability of the loss contingency and the potential liability, and may revise the estimate. The Company is currently involved in the following matters:</w:t>
      </w:r>
    </w:p>
    <w:p>
      <w:pPr>
        <w:pStyle w:val="TextBody"/>
        <w:bidi w:val="0"/>
        <w:spacing w:lineRule="auto" w:line="288" w:before="120" w:after="283"/>
        <w:jc w:val="both"/>
        <w:rPr/>
      </w:pPr>
      <w:r>
        <w:rPr>
          <w:rFonts w:ascii="Open Sans;sans-serif" w:hAnsi="Open Sans;sans-serif"/>
          <w:b w:val="false"/>
          <w:color w:val="000000"/>
          <w:sz w:val="20"/>
        </w:rPr>
        <w:t xml:space="preserve">On December 9, 2024, a putative securities class action lawsuit, captioned </w:t>
      </w:r>
      <w:r>
        <w:rPr>
          <w:rFonts w:ascii="Open Sans;sans-serif" w:hAnsi="Open Sans;sans-serif"/>
          <w:b w:val="false"/>
          <w:i/>
          <w:color w:val="000000"/>
          <w:sz w:val="20"/>
        </w:rPr>
        <w:t>Wai v. Marqeta, Inc., et al.</w:t>
      </w:r>
      <w:r>
        <w:rPr>
          <w:rFonts w:ascii="Open Sans;sans-serif" w:hAnsi="Open Sans;sans-serif"/>
          <w:b w:val="false"/>
          <w:color w:val="000000"/>
          <w:sz w:val="20"/>
        </w:rPr>
        <w:t>, Case No. 24-cv-08874 (N.D. Cal.), was filed in federal court in the Northern District of California (“Court”) against the Company, its former Chief Executive Officer, and its Chief Financial Officer (“Defendants”) alleging violations of federal securities laws. The lawsuit asserted that Defendants made false or misleading statements relating to the Company’s performance or revenue and gross profit expectations in violation of Sections 10(b) and 20(a) of the Securities Exchange Act of 1934 and Rule 10b-5 promulgated thereunder.</w:t>
      </w:r>
    </w:p>
    <w:p>
      <w:pPr>
        <w:pStyle w:val="TextBody"/>
        <w:bidi w:val="0"/>
        <w:spacing w:lineRule="auto" w:line="288" w:before="120" w:after="283"/>
        <w:jc w:val="both"/>
        <w:rPr/>
      </w:pPr>
      <w:r>
        <w:rPr>
          <w:rFonts w:ascii="Open Sans;sans-serif" w:hAnsi="Open Sans;sans-serif"/>
          <w:b w:val="false"/>
          <w:color w:val="000000"/>
          <w:sz w:val="20"/>
        </w:rPr>
        <w:t xml:space="preserve">On December 10, 2024, a second putative securities class action lawsuit, captioned </w:t>
      </w:r>
      <w:r>
        <w:rPr>
          <w:rFonts w:ascii="Open Sans;sans-serif" w:hAnsi="Open Sans;sans-serif"/>
          <w:b w:val="false"/>
          <w:i/>
          <w:color w:val="000000"/>
          <w:sz w:val="20"/>
        </w:rPr>
        <w:t>Ford v. Marqeta, Inc.</w:t>
      </w:r>
      <w:r>
        <w:rPr>
          <w:rFonts w:ascii="Open Sans;sans-serif" w:hAnsi="Open Sans;sans-serif"/>
          <w:b w:val="false"/>
          <w:color w:val="000000"/>
          <w:sz w:val="20"/>
        </w:rPr>
        <w:t xml:space="preserve">, et al., Case No. 24-cv-08892 (N.D. Cal.), was filed in the same Court against the same Defendants alleging violations of the same federal securities laws. The second lawsuit asserted similar theories of liability as the first lawsuit </w:t>
      </w:r>
      <w:r>
        <w:rPr>
          <w:rFonts w:ascii="Open Sans;sans-serif" w:hAnsi="Open Sans;sans-serif"/>
          <w:b w:val="false"/>
          <w:color w:val="231F20"/>
          <w:sz w:val="20"/>
        </w:rPr>
        <w:t>but alleges a broader putative class period of between May 7, 2024 and November 4, 2024 and some additional and/or different allegations on which the claims are based</w:t>
      </w:r>
      <w:r>
        <w:rPr>
          <w:rFonts w:ascii="Open Sans;sans-serif" w:hAnsi="Open Sans;sans-serif"/>
          <w:b w:val="false"/>
          <w:color w:val="000000"/>
          <w:sz w:val="20"/>
        </w:rPr>
        <w:t xml:space="preserve">. Both lawsuits (collectively, the “Securities Actions”) seek to recover damages on behalf of shareholders who acquired shares of the Company’s common stock during their respective putative class periods. The Securities Actions have been consolidated into one consolidated securities litigation captioned </w:t>
      </w:r>
      <w:r>
        <w:rPr>
          <w:rFonts w:ascii="Open Sans;sans-serif" w:hAnsi="Open Sans;sans-serif"/>
          <w:b w:val="false"/>
          <w:i/>
          <w:color w:val="000000"/>
          <w:sz w:val="20"/>
        </w:rPr>
        <w:t>In re Marqeta, Inc. Securities Litigation</w:t>
      </w:r>
      <w:r>
        <w:rPr>
          <w:rFonts w:ascii="Open Sans;sans-serif" w:hAnsi="Open Sans;sans-serif"/>
          <w:b w:val="false"/>
          <w:color w:val="000000"/>
          <w:sz w:val="20"/>
        </w:rPr>
        <w:t xml:space="preserve">, Case No. 24-08874-YGR (N.D. Cal) and the Court has appointed a lead plaintiff and lead plaintiff’s counsel in the matter. On April 10, 2025, the lead plaintiff filed a consolidated amended complaint, which alleges a putative class period of between February 28, 2024 and November 4, 2024. The Company and the other Defendants filed a motion to dismiss the consolidated amended complaint on May 15, 2025. </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On November 3, 2025, a settlement was reached, in principle, with the lead plaintiff’s counsel to resolve the Securities Actions for payments totaling $13.0 million, subject to further documentation and judicial approvals. The Company’s Directors &amp; Officers insurance policy includes a $5.0 million self-insured retention that applies to covered losses related to the Securities Actions, including legal defense fees and settlement payments. If finalized, the settlement will be funded by insurance less the self-insured retention.</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 xml:space="preserve">As of March 31, 2026 and December 31, 2025, the Company had $13.0 million settlement liability in accrued expenses and other current liabilities on the Condensed Consolidated Balance Sheets. The corresponding insurance recovery receivable was $9.4 million and $9.3 million as of March 31, 2026 and December 31, 2025, respectively, and is recorded in prepaid expenses and other current assets. The receivable reflects the portion of settlement expected to be covered by insurance, determined by applying legal fees incurred through March 31, 2026 toward the self-insured retention. As additional legal fees are incurred beyond this date, they will further reduce the remaining self-insured retention, resulting in a corresponding increase to the receivable balance. </w:t>
      </w:r>
    </w:p>
    <w:p>
      <w:pPr>
        <w:pStyle w:val="TextBody"/>
        <w:bidi w:val="0"/>
        <w:spacing w:lineRule="auto" w:line="288" w:before="120" w:after="283"/>
        <w:jc w:val="both"/>
        <w:rPr/>
      </w:pPr>
      <w:r>
        <w:rPr>
          <w:rFonts w:ascii="Open Sans;sans-serif" w:hAnsi="Open Sans;sans-serif"/>
          <w:b w:val="false"/>
          <w:color w:val="000000"/>
          <w:sz w:val="20"/>
        </w:rPr>
        <w:t xml:space="preserve">On February 4, 2025, a putative shareholder derivative lawsuit, captioned </w:t>
      </w:r>
      <w:r>
        <w:rPr>
          <w:rFonts w:ascii="Open Sans;sans-serif" w:hAnsi="Open Sans;sans-serif"/>
          <w:b w:val="false"/>
          <w:i/>
          <w:color w:val="000000"/>
          <w:sz w:val="20"/>
        </w:rPr>
        <w:t>Smith v. Khalaf, et al.</w:t>
      </w:r>
      <w:r>
        <w:rPr>
          <w:rFonts w:ascii="Open Sans;sans-serif" w:hAnsi="Open Sans;sans-serif"/>
          <w:b w:val="false"/>
          <w:color w:val="000000"/>
          <w:sz w:val="20"/>
        </w:rPr>
        <w:t xml:space="preserve">, Case No. 25-cv-01174 (N.D. Cal.), was filed in the same Court against certain of the Company’s current and former officer and its Board of Directors (as then constituted), and names the Company as a nominal defendant. This lawsuit asserts claims for breach of fiduciary duties and violations of federal securities laws, among other claims, between the time period of May 7, 2024 and November 4, 2024 under similar theories as the Securities Actions. Two other substantially similar putative shareholder derivative lawsuits, captioned </w:t>
      </w:r>
      <w:r>
        <w:rPr>
          <w:rFonts w:ascii="Open Sans;sans-serif" w:hAnsi="Open Sans;sans-serif"/>
          <w:b w:val="false"/>
          <w:i/>
          <w:color w:val="000000"/>
          <w:sz w:val="20"/>
        </w:rPr>
        <w:t>Ojserkis v. Khalaf, et al.</w:t>
      </w:r>
      <w:r>
        <w:rPr>
          <w:rFonts w:ascii="Open Sans;sans-serif" w:hAnsi="Open Sans;sans-serif"/>
          <w:b w:val="false"/>
          <w:color w:val="000000"/>
          <w:sz w:val="20"/>
        </w:rPr>
        <w:t xml:space="preserve">, Case No. 25-cv-01883 (N.D. Cal.) and </w:t>
      </w:r>
      <w:r>
        <w:rPr>
          <w:rFonts w:ascii="Open Sans;sans-serif" w:hAnsi="Open Sans;sans-serif"/>
          <w:b w:val="false"/>
          <w:i/>
          <w:color w:val="000000"/>
          <w:sz w:val="20"/>
        </w:rPr>
        <w:t>Preciado v. Khalaf, et al.</w:t>
      </w:r>
      <w:r>
        <w:rPr>
          <w:rFonts w:ascii="Open Sans;sans-serif" w:hAnsi="Open Sans;sans-serif"/>
          <w:b w:val="false"/>
          <w:color w:val="000000"/>
          <w:sz w:val="20"/>
        </w:rPr>
        <w:t xml:space="preserve">, Case No. 3:25-cv-02100 (N.D. Cal.), were filed on February 21, 2025 and February 27, 2025, respectively. All three putative shareholder derivative suits have been consolidated into one lawsuit captioned </w:t>
      </w:r>
      <w:r>
        <w:rPr>
          <w:rFonts w:ascii="Open Sans;sans-serif" w:hAnsi="Open Sans;sans-serif"/>
          <w:b w:val="false"/>
          <w:i/>
          <w:color w:val="000000"/>
          <w:sz w:val="20"/>
        </w:rPr>
        <w:t xml:space="preserve">In re Marqeta, Inc.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7955"/>
                <wp:effectExtent l="0" t="0" r="0" b="0"/>
                <wp:wrapNone/>
                <wp:docPr id="17" name="Frame17"/>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17</w:t>
                      </w:r>
                    </w:p>
                  </w:txbxContent>
                </v:textbox>
                <w10:wrap type="none"/>
              </v:rect>
            </w:pict>
          </mc:Fallback>
        </mc:AlternateContent>
      </w:r>
    </w:p>
    <w:p>
      <w:pPr>
        <w:pStyle w:val="TextBody"/>
        <w:bidi w:val="0"/>
        <w:spacing w:lineRule="auto" w:line="288" w:before="0" w:after="60"/>
        <w:jc w:val="left"/>
        <w:rPr/>
      </w:pPr>
      <w:hyperlink w:anchor="i86ce94018fb640d7903f0edbc68bd8af_7">
        <w:r>
          <w:rPr>
            <w:rStyle w:val="InternetLink"/>
            <w:rFonts w:ascii="Open Sans;sans-serif" w:hAnsi="Open Sans;sans-serif"/>
            <w:b w:val="false"/>
            <w:color w:val="0000FF"/>
            <w:sz w:val="18"/>
            <w:u w:val="single"/>
          </w:rPr>
          <w:t>Table of Contents</w:t>
        </w:r>
      </w:hyperlink>
    </w:p>
    <w:p>
      <w:pPr>
        <w:pStyle w:val="TextBody"/>
        <w:bidi w:val="0"/>
        <w:spacing w:lineRule="auto" w:line="288" w:before="120" w:after="283"/>
        <w:jc w:val="both"/>
        <w:rPr/>
      </w:pPr>
      <w:r>
        <w:rPr>
          <w:rFonts w:ascii="Open Sans;sans-serif" w:hAnsi="Open Sans;sans-serif"/>
          <w:b w:val="false"/>
          <w:i/>
          <w:color w:val="000000"/>
          <w:sz w:val="20"/>
        </w:rPr>
        <w:t>Derivative Litigation</w:t>
      </w:r>
      <w:r>
        <w:rPr>
          <w:rFonts w:ascii="Open Sans;sans-serif" w:hAnsi="Open Sans;sans-serif"/>
          <w:b w:val="false"/>
          <w:color w:val="000000"/>
          <w:sz w:val="20"/>
        </w:rPr>
        <w:t xml:space="preserve">, Case No. 4:25-cv-01174-YGR (N.D. Cal). The consolidated derivative action is currently stayed pending developments in the consolidated Securities Actions. </w:t>
      </w:r>
    </w:p>
    <w:p>
      <w:pPr>
        <w:pStyle w:val="TextBody"/>
        <w:bidi w:val="0"/>
        <w:spacing w:lineRule="auto" w:line="288" w:before="120" w:after="283"/>
        <w:jc w:val="left"/>
        <w:rPr>
          <w:rFonts w:ascii="Open Sans;sans-serif" w:hAnsi="Open Sans;sans-serif"/>
          <w:b/>
          <w:i/>
          <w:color w:val="000000"/>
          <w:sz w:val="20"/>
        </w:rPr>
      </w:pPr>
      <w:r>
        <w:rPr>
          <w:rFonts w:ascii="Open Sans;sans-serif" w:hAnsi="Open Sans;sans-serif"/>
          <w:b/>
          <w:i/>
          <w:color w:val="000000"/>
          <w:sz w:val="20"/>
        </w:rPr>
        <w:t>Settlement of Payment Transactions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Pre-funding amounts deposited by program management customers into accounts maintained at Issuing Banks may only be used to settle customers’ payment transactions, and are not subject to the same safeguarding regulations as TransactPay’s customer funds, and as such, are not considered assets of the Company. Accordingly, the funds held in customers’ accounts at Issuing Banks are not reflected on the Company’s Condensed Consolidated Balance Sheets. If a customer does not have sufficient funds to settle a transaction, the Company is liable to the Issuing Bank to settle the transaction and would therefore incur losses if such amounts cannot be subsequently recovered from the customer. The Company did not incur losses of this nature during the three months ended March 31, 2026 and 2025, respectively.</w:t>
      </w:r>
    </w:p>
    <w:p>
      <w:pPr>
        <w:pStyle w:val="TextBody"/>
        <w:bidi w:val="0"/>
        <w:spacing w:lineRule="auto" w:line="288" w:before="240" w:after="283"/>
        <w:jc w:val="both"/>
        <w:rPr>
          <w:rFonts w:ascii="Open Sans;sans-serif" w:hAnsi="Open Sans;sans-serif"/>
          <w:b/>
          <w:i/>
          <w:color w:val="000000"/>
          <w:sz w:val="20"/>
        </w:rPr>
      </w:pPr>
      <w:r>
        <w:rPr>
          <w:rFonts w:ascii="Open Sans;sans-serif" w:hAnsi="Open Sans;sans-serif"/>
          <w:b/>
          <w:i/>
          <w:color w:val="000000"/>
          <w:sz w:val="20"/>
        </w:rPr>
        <w:t>Indemnifications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 xml:space="preserve">In the ordinary course of business, the Company enters into agreements of varying scope and terms pursuant to which it agrees to indemnify customers, Card Networks, Issuing Banks, vendors, lessors, and other parties with respect to certain matters, including, but not limited to, losses arising out of the breach of such agreements, services to be provided by the Company or from intellectual property infringement claims made by third parties. With respect to Issuing Banks, the Company has received requests for indemnification from time to time and may indemnify an Issuing Bank for losses such Issuing Bank may incur for non-compliance with applicable laws and regulations, if those losses resulted from the Company’s failure to perform under its program agreement. No significant claims have been incurred during the three months ended March 31, 2026 and 2025. </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In addition, the Company has entered into indemnification agreements with its directors and certain officers and employees that will require the Company, among other things, to indemnify them against certain liabilities that may arise by reason of their status or service as directors, officers, or employees. As of March 31, 2026 and December 31, 2025, no demands have been made upon the Company to provide indemnification under such agreements, and the Company is not aware of any claims that could have a material effect on its Condensed Consolidated Financial Statements.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 xml:space="preserve">The Company also includes service level commitments to its customers, warranting certain levels of performance and permitting these customers to receive credits in the event the Company fails to meet the levels outlined in their respective agreements. No material credits were issued during the three months ended March 31, 2026 and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20" w:after="283"/>
        <w:jc w:val="left"/>
        <w:rPr>
          <w:rFonts w:ascii="Open Sans;sans-serif" w:hAnsi="Open Sans;sans-serif"/>
          <w:b/>
          <w:color w:val="000000"/>
          <w:sz w:val="20"/>
        </w:rPr>
      </w:pPr>
      <w:r>
        <w:rPr>
          <w:rFonts w:ascii="Open Sans;sans-serif" w:hAnsi="Open Sans;sans-serif"/>
          <w:b/>
          <w:color w:val="000000"/>
          <w:sz w:val="20"/>
        </w:rPr>
        <w:t>10.    Stock Incentive Plans</w:t>
      </w:r>
    </w:p>
    <w:p>
      <w:pPr>
        <w:pStyle w:val="TextBody"/>
        <w:bidi w:val="0"/>
        <w:spacing w:lineRule="auto" w:line="268" w:before="120" w:after="283"/>
        <w:jc w:val="both"/>
        <w:rPr>
          <w:rFonts w:ascii="Open Sans;sans-serif" w:hAnsi="Open Sans;sans-serif"/>
          <w:b w:val="false"/>
          <w:color w:val="000000"/>
          <w:sz w:val="20"/>
        </w:rPr>
      </w:pPr>
      <w:r>
        <w:rPr>
          <w:rFonts w:ascii="Open Sans;sans-serif" w:hAnsi="Open Sans;sans-serif"/>
          <w:b w:val="false"/>
          <w:color w:val="000000"/>
          <w:sz w:val="20"/>
        </w:rPr>
        <w:t>The following table presents the share-based compensation expense by award type recognized within the following line items in the Condensed Consolidated Statements of Operations and Comprehensive Income (Loss) and Condensed Consolidated Balance Sheet in the periods presented:</w:t>
      </w:r>
    </w:p>
    <w:tbl>
      <w:tblPr>
        <w:tblW w:w="10205" w:type="dxa"/>
        <w:jc w:val="left"/>
        <w:tblInd w:w="0" w:type="dxa"/>
        <w:tblLayout w:type="fixed"/>
        <w:tblCellMar>
          <w:top w:w="28" w:type="dxa"/>
          <w:left w:w="28" w:type="dxa"/>
          <w:bottom w:w="28" w:type="dxa"/>
          <w:right w:w="28" w:type="dxa"/>
        </w:tblCellMar>
      </w:tblPr>
      <w:tblGrid>
        <w:gridCol w:w="2451"/>
        <w:gridCol w:w="2131"/>
        <w:gridCol w:w="2139"/>
        <w:gridCol w:w="255"/>
        <w:gridCol w:w="937"/>
        <w:gridCol w:w="123"/>
        <w:gridCol w:w="123"/>
        <w:gridCol w:w="123"/>
        <w:gridCol w:w="123"/>
        <w:gridCol w:w="255"/>
        <w:gridCol w:w="937"/>
        <w:gridCol w:w="123"/>
        <w:gridCol w:w="109"/>
        <w:gridCol w:w="109"/>
        <w:gridCol w:w="109"/>
        <w:gridCol w:w="158"/>
      </w:tblGrid>
      <w:tr>
        <w:trPr/>
        <w:tc>
          <w:tcPr>
            <w:tcW w:w="2451"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left"/>
              <w:rPr>
                <w:sz w:val="4"/>
                <w:szCs w:val="4"/>
              </w:rPr>
            </w:pPr>
            <w:r>
              <w:rPr>
                <w:sz w:val="4"/>
                <w:szCs w:val="4"/>
              </w:rPr>
            </w:r>
          </w:p>
        </w:tc>
        <w:tc>
          <w:tcPr>
            <w:tcW w:w="213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gridSpan w:val="2"/>
            <w:tcBorders/>
          </w:tcPr>
          <w:p>
            <w:pPr>
              <w:pStyle w:val="TableContents"/>
              <w:bidi w:val="0"/>
              <w:spacing w:before="0" w:after="283"/>
              <w:jc w:val="left"/>
              <w:rPr>
                <w:sz w:val="4"/>
                <w:szCs w:val="4"/>
              </w:rPr>
            </w:pPr>
            <w:r>
              <w:rPr>
                <w:sz w:val="4"/>
                <w:szCs w:val="4"/>
              </w:rPr>
            </w:r>
          </w:p>
        </w:tc>
      </w:tr>
      <w:tr>
        <w:trPr/>
        <w:tc>
          <w:tcPr>
            <w:tcW w:w="6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2026</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Restricted stock units</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19,227 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23,536 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Stock options</w:t>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896 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2,274 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Performance restricted stock units</w:t>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(296)</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(81)</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Employee Stock Purchase Plan</w:t>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190 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186 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21"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Share-based compensation recorded within Compensation and benefits</w:t>
            </w:r>
          </w:p>
        </w:tc>
        <w:tc>
          <w:tcPr>
            <w:tcW w:w="11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20,017 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25,915 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21"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Property and equipment (capitalized internal-use software)</w:t>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2,606 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2,522 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Total share-based compensation expense</w:t>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22,623 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28,437 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7955"/>
                <wp:effectExtent l="0" t="0" r="0" b="0"/>
                <wp:wrapNone/>
                <wp:docPr id="18" name="Frame18"/>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18</w:t>
                      </w:r>
                    </w:p>
                  </w:txbxContent>
                </v:textbox>
                <w10:wrap type="none"/>
              </v:rect>
            </w:pict>
          </mc:Fallback>
        </mc:AlternateContent>
      </w:r>
    </w:p>
    <w:p>
      <w:pPr>
        <w:pStyle w:val="TextBody"/>
        <w:bidi w:val="0"/>
        <w:spacing w:lineRule="auto" w:line="288" w:before="0" w:after="60"/>
        <w:jc w:val="left"/>
        <w:rPr/>
      </w:pPr>
      <w:hyperlink w:anchor="i86ce94018fb640d7903f0edbc68bd8af_7">
        <w:r>
          <w:rPr>
            <w:rStyle w:val="InternetLink"/>
            <w:rFonts w:ascii="Open Sans;sans-serif" w:hAnsi="Open Sans;sans-serif"/>
            <w:b w:val="false"/>
            <w:color w:val="0000FF"/>
            <w:sz w:val="18"/>
            <w:u w:val="single"/>
          </w:rPr>
          <w:t>Table of Contents</w:t>
        </w:r>
      </w:hyperlink>
    </w:p>
    <w:p>
      <w:pPr>
        <w:pStyle w:val="TextBody"/>
        <w:bidi w:val="0"/>
        <w:spacing w:lineRule="auto" w:line="288" w:before="120" w:after="283"/>
        <w:jc w:val="both"/>
        <w:rPr>
          <w:rFonts w:ascii="Open Sans;sans-serif" w:hAnsi="Open Sans;sans-serif"/>
          <w:b/>
          <w:i/>
          <w:color w:val="000000"/>
          <w:sz w:val="20"/>
        </w:rPr>
      </w:pPr>
      <w:r>
        <w:rPr>
          <w:rFonts w:ascii="Open Sans;sans-serif" w:hAnsi="Open Sans;sans-serif"/>
          <w:b/>
          <w:i/>
          <w:color w:val="000000"/>
          <w:sz w:val="20"/>
        </w:rPr>
        <w:t>Restricted Stock Units and Performance Share Units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A summary of the Company's restricted stock units (RSUs) and performance-based restricted stock units (PSUs) activity under the Plans was as follows:</w:t>
      </w:r>
    </w:p>
    <w:tbl>
      <w:tblPr>
        <w:tblW w:w="10136" w:type="dxa"/>
        <w:jc w:val="left"/>
        <w:tblInd w:w="0" w:type="dxa"/>
        <w:tblLayout w:type="fixed"/>
        <w:tblCellMar>
          <w:top w:w="28" w:type="dxa"/>
          <w:left w:w="28" w:type="dxa"/>
          <w:bottom w:w="28" w:type="dxa"/>
          <w:right w:w="28" w:type="dxa"/>
        </w:tblCellMar>
      </w:tblPr>
      <w:tblGrid>
        <w:gridCol w:w="1233"/>
        <w:gridCol w:w="1084"/>
        <w:gridCol w:w="1088"/>
        <w:gridCol w:w="544"/>
        <w:gridCol w:w="544"/>
        <w:gridCol w:w="546"/>
        <w:gridCol w:w="109"/>
        <w:gridCol w:w="109"/>
        <w:gridCol w:w="109"/>
        <w:gridCol w:w="1112"/>
        <w:gridCol w:w="2890"/>
        <w:gridCol w:w="768"/>
      </w:tblGrid>
      <w:tr>
        <w:trPr/>
        <w:tc>
          <w:tcPr>
            <w:tcW w:w="1233"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2890"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Open Sans;sans-serif" w:hAnsi="Open Sans;sans-serif"/>
                <w:b/>
                <w:color w:val="000000"/>
                <w:sz w:val="16"/>
              </w:rPr>
            </w:pPr>
            <w:r>
              <w:rPr>
                <w:rFonts w:ascii="Open Sans;sans-serif" w:hAnsi="Open Sans;sans-serif"/>
                <w:b/>
                <w:color w:val="000000"/>
                <w:sz w:val="16"/>
              </w:rPr>
              <w:t>Number of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Open Sans;sans-serif" w:hAnsi="Open Sans;sans-serif"/>
                <w:b/>
                <w:color w:val="000000"/>
                <w:sz w:val="16"/>
              </w:rPr>
            </w:pPr>
            <w:r>
              <w:rPr>
                <w:rFonts w:ascii="Open Sans;sans-serif" w:hAnsi="Open Sans;sans-serif"/>
                <w:b/>
                <w:color w:val="000000"/>
                <w:sz w:val="16"/>
              </w:rPr>
              <w:t>Weighted- average grant date fair value per share</w:t>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Balance as of December 31, 2025</w:t>
            </w:r>
          </w:p>
        </w:tc>
        <w:tc>
          <w:tcPr>
            <w:tcW w:w="10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29,086 </w:t>
            </w:r>
          </w:p>
        </w:tc>
        <w:tc>
          <w:tcPr>
            <w:tcW w:w="5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28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4.88 </w:t>
            </w:r>
          </w:p>
        </w:tc>
        <w:tc>
          <w:tcPr>
            <w:tcW w:w="7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Granted</w:t>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20,944 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28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3.98 </w:t>
            </w:r>
          </w:p>
        </w:tc>
        <w:tc>
          <w:tcPr>
            <w:tcW w:w="7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Vested</w:t>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(5,106)</w:t>
            </w:r>
          </w:p>
        </w:tc>
        <w:tc>
          <w:tcPr>
            <w:tcW w:w="5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28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4.94 </w:t>
            </w:r>
          </w:p>
        </w:tc>
        <w:tc>
          <w:tcPr>
            <w:tcW w:w="7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Forfeited</w:t>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(3,979)</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28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4.47 </w:t>
            </w:r>
          </w:p>
        </w:tc>
        <w:tc>
          <w:tcPr>
            <w:tcW w:w="7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Balance as of March 31, 2026</w:t>
            </w:r>
          </w:p>
        </w:tc>
        <w:tc>
          <w:tcPr>
            <w:tcW w:w="108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40,945 </w:t>
            </w:r>
          </w:p>
        </w:tc>
        <w:tc>
          <w:tcPr>
            <w:tcW w:w="5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28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4.45 </w:t>
            </w:r>
          </w:p>
        </w:tc>
        <w:tc>
          <w:tcPr>
            <w:tcW w:w="7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As of March 31, 2026, unrecognized compensation expense related to unvested RSUs and PSUs was $166.6 million. These costs are expected to be recognized over a weighted-average period of 2.2 years.</w:t>
      </w:r>
    </w:p>
    <w:p>
      <w:pPr>
        <w:pStyle w:val="TextBody"/>
        <w:bidi w:val="0"/>
        <w:spacing w:lineRule="auto" w:line="288" w:before="120" w:after="283"/>
        <w:jc w:val="both"/>
        <w:rPr>
          <w:rFonts w:ascii="Open Sans;sans-serif" w:hAnsi="Open Sans;sans-serif"/>
          <w:b/>
          <w:color w:val="000000"/>
          <w:sz w:val="20"/>
        </w:rPr>
      </w:pPr>
      <w:r>
        <w:rPr>
          <w:rFonts w:ascii="Open Sans;sans-serif" w:hAnsi="Open Sans;sans-serif"/>
          <w:b/>
          <w:color w:val="000000"/>
          <w:sz w:val="20"/>
        </w:rPr>
        <w:t>Stock Options</w:t>
      </w:r>
    </w:p>
    <w:p>
      <w:pPr>
        <w:pStyle w:val="TextBody"/>
        <w:bidi w:val="0"/>
        <w:spacing w:lineRule="auto" w:line="288" w:before="120" w:after="120"/>
        <w:jc w:val="both"/>
        <w:rPr>
          <w:rFonts w:ascii="Open Sans;sans-serif" w:hAnsi="Open Sans;sans-serif"/>
          <w:b w:val="false"/>
          <w:color w:val="000000"/>
          <w:sz w:val="20"/>
        </w:rPr>
      </w:pPr>
      <w:r>
        <w:rPr>
          <w:rFonts w:ascii="Open Sans;sans-serif" w:hAnsi="Open Sans;sans-serif"/>
          <w:b w:val="false"/>
          <w:color w:val="000000"/>
          <w:sz w:val="20"/>
        </w:rPr>
        <w:t>A summary of the Company's stock option activity under the Plans is as follows:</w:t>
      </w:r>
    </w:p>
    <w:tbl>
      <w:tblPr>
        <w:tblW w:w="10205" w:type="dxa"/>
        <w:jc w:val="left"/>
        <w:tblInd w:w="0" w:type="dxa"/>
        <w:tblLayout w:type="fixed"/>
        <w:tblCellMar>
          <w:top w:w="28" w:type="dxa"/>
          <w:left w:w="28" w:type="dxa"/>
          <w:bottom w:w="28" w:type="dxa"/>
          <w:right w:w="28" w:type="dxa"/>
        </w:tblCellMar>
      </w:tblPr>
      <w:tblGrid>
        <w:gridCol w:w="762"/>
        <w:gridCol w:w="595"/>
        <w:gridCol w:w="598"/>
        <w:gridCol w:w="485"/>
        <w:gridCol w:w="383"/>
        <w:gridCol w:w="385"/>
        <w:gridCol w:w="109"/>
        <w:gridCol w:w="109"/>
        <w:gridCol w:w="109"/>
        <w:gridCol w:w="491"/>
        <w:gridCol w:w="1277"/>
        <w:gridCol w:w="239"/>
        <w:gridCol w:w="109"/>
        <w:gridCol w:w="109"/>
        <w:gridCol w:w="109"/>
        <w:gridCol w:w="797"/>
        <w:gridCol w:w="797"/>
        <w:gridCol w:w="799"/>
        <w:gridCol w:w="109"/>
        <w:gridCol w:w="109"/>
        <w:gridCol w:w="109"/>
        <w:gridCol w:w="334"/>
        <w:gridCol w:w="1045"/>
        <w:gridCol w:w="237"/>
      </w:tblGrid>
      <w:tr>
        <w:trPr/>
        <w:tc>
          <w:tcPr>
            <w:tcW w:w="762"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1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Open Sans;sans-serif" w:hAnsi="Open Sans;sans-serif"/>
                <w:b/>
                <w:color w:val="000000"/>
                <w:sz w:val="16"/>
              </w:rPr>
            </w:pPr>
            <w:r>
              <w:rPr>
                <w:rFonts w:ascii="Open Sans;sans-serif" w:hAnsi="Open Sans;sans-serif"/>
                <w:b/>
                <w:color w:val="000000"/>
                <w:sz w:val="16"/>
              </w:rPr>
              <w:t>Number of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Open Sans;sans-serif" w:hAnsi="Open Sans;sans-serif"/>
                <w:b/>
                <w:color w:val="000000"/>
                <w:sz w:val="16"/>
              </w:rPr>
            </w:pPr>
            <w:r>
              <w:rPr>
                <w:rFonts w:ascii="Open Sans;sans-serif" w:hAnsi="Open Sans;sans-serif"/>
                <w:b/>
                <w:color w:val="000000"/>
                <w:sz w:val="16"/>
              </w:rPr>
              <w:t>Weighted- Average Exercise Price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Open Sans;sans-serif" w:hAnsi="Open Sans;sans-serif"/>
                <w:b/>
                <w:color w:val="000000"/>
                <w:sz w:val="16"/>
              </w:rPr>
            </w:pPr>
            <w:r>
              <w:rPr>
                <w:rFonts w:ascii="Open Sans;sans-serif" w:hAnsi="Open Sans;sans-serif"/>
                <w:b/>
                <w:color w:val="000000"/>
                <w:sz w:val="16"/>
              </w:rPr>
              <w:t>Weighted - Average remaining Contractual Life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Open Sans;sans-serif" w:hAnsi="Open Sans;sans-serif"/>
                <w:b/>
                <w:color w:val="000000"/>
                <w:sz w:val="16"/>
              </w:rPr>
              <w:t xml:space="preserve">Aggregate Intrinsic Value </w:t>
            </w:r>
            <w:r>
              <w:rPr>
                <w:rFonts w:ascii="Open Sans;sans-serif" w:hAnsi="Open Sans;sans-serif"/>
                <w:b/>
                <w:color w:val="000000"/>
                <w:sz w:val="10"/>
              </w:rPr>
              <w:t>(1)</w:t>
            </w:r>
          </w:p>
        </w:tc>
      </w:tr>
      <w:tr>
        <w:trPr/>
        <w:tc>
          <w:tcPr>
            <w:tcW w:w="19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Balance as of December 31, 2025</w:t>
            </w:r>
          </w:p>
        </w:tc>
        <w:tc>
          <w:tcPr>
            <w:tcW w:w="8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8,197 </w:t>
            </w:r>
          </w:p>
        </w:tc>
        <w:tc>
          <w:tcPr>
            <w:tcW w:w="3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6.86 </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0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7,321 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Granted</w:t>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Exercised</w:t>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(33)</w:t>
            </w:r>
          </w:p>
        </w:tc>
        <w:tc>
          <w:tcPr>
            <w:tcW w:w="3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1.52 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Forfeited</w:t>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Balance as of March 31, 2026</w:t>
            </w:r>
          </w:p>
        </w:tc>
        <w:tc>
          <w:tcPr>
            <w:tcW w:w="8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8,164 </w:t>
            </w:r>
          </w:p>
        </w:tc>
        <w:tc>
          <w:tcPr>
            <w:tcW w:w="3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2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6.88 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0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4,989 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Open Sans;sans-serif" w:hAnsi="Open Sans;sans-serif"/>
                <w:b w:val="false"/>
                <w:color w:val="000000"/>
                <w:sz w:val="20"/>
              </w:rPr>
              <w:t xml:space="preserve">Exercisable as of March 31, 2026 </w:t>
            </w:r>
            <w:r>
              <w:rPr>
                <w:rFonts w:ascii="Open Sans;sans-serif" w:hAnsi="Open Sans;sans-serif"/>
                <w:b w:val="false"/>
                <w:color w:val="000000"/>
                <w:sz w:val="13"/>
              </w:rPr>
              <w:t>(2)</w:t>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7,751 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2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6.96 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0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4,987 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Vested as of March 31, 2026</w:t>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7,751 </w:t>
            </w:r>
          </w:p>
        </w:tc>
        <w:tc>
          <w:tcPr>
            <w:tcW w:w="3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2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6.96 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0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4,987 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Open Sans;sans-serif" w:hAnsi="Open Sans;sans-serif"/>
          <w:b w:val="false"/>
          <w:color w:val="000000"/>
          <w:sz w:val="16"/>
        </w:rPr>
      </w:pPr>
      <w:r>
        <w:rPr>
          <w:rFonts w:ascii="Open Sans;sans-serif" w:hAnsi="Open Sans;sans-serif"/>
          <w:b w:val="false"/>
          <w:color w:val="000000"/>
          <w:sz w:val="16"/>
        </w:rPr>
        <w:t>(1) Intrinsic value is calculated based on the difference between the exercise price of in-the-money-stock options and the fair value of the common stock as of the respective balance sheet dates.</w:t>
      </w:r>
    </w:p>
    <w:p>
      <w:pPr>
        <w:pStyle w:val="TextBody"/>
        <w:bidi w:val="0"/>
        <w:spacing w:lineRule="auto" w:line="288" w:before="0" w:after="0"/>
        <w:jc w:val="both"/>
        <w:rPr>
          <w:rFonts w:ascii="Open Sans;sans-serif" w:hAnsi="Open Sans;sans-serif"/>
          <w:b w:val="false"/>
          <w:color w:val="000000"/>
          <w:sz w:val="16"/>
        </w:rPr>
      </w:pPr>
      <w:r>
        <w:rPr>
          <w:rFonts w:ascii="Open Sans;sans-serif" w:hAnsi="Open Sans;sans-serif"/>
          <w:b w:val="false"/>
          <w:color w:val="000000"/>
          <w:sz w:val="16"/>
        </w:rPr>
        <w:t>(2) The 2011 Plan allows for early exercise of stock options. Accordingly, options granted under this plan are included as exercisable stock options regardless of vesting status.</w:t>
      </w:r>
    </w:p>
    <w:p>
      <w:pPr>
        <w:pStyle w:val="TextBody"/>
        <w:bidi w:val="0"/>
        <w:spacing w:lineRule="auto" w:line="288" w:before="120" w:after="120"/>
        <w:jc w:val="both"/>
        <w:rPr>
          <w:rFonts w:ascii="Open Sans;sans-serif" w:hAnsi="Open Sans;sans-serif"/>
          <w:b w:val="false"/>
          <w:color w:val="000000"/>
          <w:sz w:val="20"/>
        </w:rPr>
      </w:pPr>
      <w:r>
        <w:rPr>
          <w:rFonts w:ascii="Open Sans;sans-serif" w:hAnsi="Open Sans;sans-serif"/>
          <w:b w:val="false"/>
          <w:color w:val="000000"/>
          <w:sz w:val="20"/>
        </w:rPr>
        <w:t>As of March 31, 2026, aggregate unrecognized compensation expense related to unvested outstanding stock options was $1.4 million. These costs are expected to be recognized over a weighted-average period of 0.8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20" w:after="283"/>
        <w:jc w:val="left"/>
        <w:rPr>
          <w:rFonts w:ascii="Open Sans;sans-serif" w:hAnsi="Open Sans;sans-serif"/>
          <w:b/>
          <w:color w:val="000000"/>
          <w:sz w:val="20"/>
        </w:rPr>
      </w:pPr>
      <w:r>
        <w:rPr>
          <w:rFonts w:ascii="Open Sans;sans-serif" w:hAnsi="Open Sans;sans-serif"/>
          <w:b/>
          <w:color w:val="000000"/>
          <w:sz w:val="20"/>
        </w:rPr>
        <w:t>11.    Stockholders’ Equity Transactions</w:t>
      </w:r>
    </w:p>
    <w:p>
      <w:pPr>
        <w:pStyle w:val="TextBody"/>
        <w:bidi w:val="0"/>
        <w:spacing w:lineRule="auto" w:line="288" w:before="240" w:after="283"/>
        <w:jc w:val="both"/>
        <w:rPr>
          <w:rFonts w:ascii="Open Sans;sans-serif" w:hAnsi="Open Sans;sans-serif"/>
          <w:b/>
          <w:i/>
          <w:color w:val="000000"/>
          <w:sz w:val="20"/>
        </w:rPr>
      </w:pPr>
      <w:r>
        <w:rPr>
          <w:rFonts w:ascii="Open Sans;sans-serif" w:hAnsi="Open Sans;sans-serif"/>
          <w:b/>
          <w:i/>
          <w:color w:val="000000"/>
          <w:sz w:val="20"/>
        </w:rPr>
        <w:t>Share Repurchase Programs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On May 6, 2024, the Company’s Board of Directors authorized a share repurchase program of up to $200 million of the Company’s Class A common stock (the “2024 Share Repurchase Program”). Under the 2024 Share Repurchase Program, the Company was authorized to repurchase shares through open market purchases, in privately negotiated transactions or by other methods, in accordance with applicable federal securities laws, including through trading plans under Rule 10b5-1 of the Exchange Act. The number of shares repurchased and the timing of purchases were based on general business and market conditions, and other factors, including legal requirements.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7955"/>
                <wp:effectExtent l="0" t="0" r="0" b="0"/>
                <wp:wrapNone/>
                <wp:docPr id="19" name="Frame19"/>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19</w:t>
                      </w:r>
                    </w:p>
                  </w:txbxContent>
                </v:textbox>
                <w10:wrap type="none"/>
              </v:rect>
            </w:pict>
          </mc:Fallback>
        </mc:AlternateContent>
      </w:r>
    </w:p>
    <w:p>
      <w:pPr>
        <w:pStyle w:val="TextBody"/>
        <w:bidi w:val="0"/>
        <w:spacing w:lineRule="auto" w:line="288" w:before="0" w:after="60"/>
        <w:jc w:val="left"/>
        <w:rPr/>
      </w:pPr>
      <w:hyperlink w:anchor="i86ce94018fb640d7903f0edbc68bd8af_7">
        <w:r>
          <w:rPr>
            <w:rStyle w:val="InternetLink"/>
            <w:rFonts w:ascii="Open Sans;sans-serif" w:hAnsi="Open Sans;sans-serif"/>
            <w:b w:val="false"/>
            <w:color w:val="0000FF"/>
            <w:sz w:val="18"/>
            <w:u w:val="single"/>
          </w:rPr>
          <w:t>Table of Contents</w:t>
        </w:r>
      </w:hyperlink>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During the three months ended March 31, 2025, the Company repurchased approximately 19.2 million shares under the 2024 Share Repurchase Program for a total cost of $80.5 million, at an average price of $4.20 per share. The aggregate cost of the shares repurchased and the related transaction costs and excise taxes of $1.1 million during the three months ended March 31, 2025 are reflected as a reduction to common stock and Additional paid-in capital on the Company’s Condensed Consolidated Balance Sheet. Repurchases under the 2024 Share Repurchase Program were completed as of March 31, 2025.</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On February 25, 2025, the Company’s Board of Directors authorized an additional share repurchase program for up to $300 million of the Company’s Class A common stock (the “February 2025 Share Repurchase Program”). Under the February 2025 Share Repurchase Program, the Company was authorized to repurchase shares through open market purchases, in privately negotiated transactions, or by other means, in accordance with applicable federal securities laws, including through trading plans under Rule 10b5-1 of the Exchange Act. The number of shares repurchased and the timing of purchases were based on general business and market conditions, and other factors, including legal requirements. The 2025 Share Repurchase Program has no set expiration date.</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During the three months ended March 31, 2025, the Company repurchased approximately 7.1 million shares under the February 2025 Share Repurchase Program for $30.3 million, at an average price of $4.28 per share. The aggregate cost of the shares repurchased and the related transaction costs and excise taxes of $0.5 million during the three months ended March 31, 2025 are reflected as a reduction to Common stock and Additional paid-in capital on the Company’s Condensed Consolidated Balance Sheet. Repurchases under the February 2025 Share Repurchase Program were completed during the fourth quarter of 2025.</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 xml:space="preserve">On December 4, 2025, the Company’s Board of Directors authorized an additional share repurchase program of up to $100 million of the Company’s Class A common stock (the “December 2025 Share Repurchase Program”). Under the December 2025 Share Repurchase Program, the Company is authorized to repurchase shares through open market purchases, in privately negotiated transactions, or by other means, in accordance with applicable federal securities laws, including through trading plans under Rule 10b5-1 of the Exchange Act. The number of shares repurchased and the timing of purchases are based on general business and market conditions, and other factors, including legal requirements. The December 2025 Share Repurchase Program has no set expiration date. </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During the three months ended March 31, 2026, the Company repurchased approximately 9.4 million shares under the December 2025 Share Repurchase Program for $39.1 million, at an average price of $4.16 per share. The aggregate cost of the shares repurchased and the related transaction costs and excise taxes of $0.5 million during the three months ended March 31, 2026 are reflected as a reduction to Common stock and Additional paid-in capital on the Company’s Condensed Consolidated Balance Sheet. As of March 31, 2026, $52.4 million remained available for future share repurchases under the December 2025 Share Repurchase Program.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20" w:after="283"/>
        <w:jc w:val="both"/>
        <w:rPr>
          <w:rFonts w:ascii="Open Sans;sans-serif" w:hAnsi="Open Sans;sans-serif"/>
          <w:b/>
          <w:color w:val="000000"/>
          <w:sz w:val="20"/>
        </w:rPr>
      </w:pPr>
      <w:r>
        <w:rPr>
          <w:rFonts w:ascii="Open Sans;sans-serif" w:hAnsi="Open Sans;sans-serif"/>
          <w:b/>
          <w:color w:val="000000"/>
          <w:sz w:val="20"/>
        </w:rPr>
        <w:t>12.    Net Income (Loss) Per Share Attributable to Common Stockholders</w:t>
      </w:r>
    </w:p>
    <w:p>
      <w:pPr>
        <w:pStyle w:val="TextBody"/>
        <w:bidi w:val="0"/>
        <w:spacing w:lineRule="auto" w:line="288" w:before="120" w:after="120"/>
        <w:jc w:val="both"/>
        <w:rPr>
          <w:rFonts w:ascii="Open Sans;sans-serif" w:hAnsi="Open Sans;sans-serif"/>
          <w:b w:val="false"/>
          <w:color w:val="000000"/>
          <w:sz w:val="20"/>
        </w:rPr>
      </w:pPr>
      <w:r>
        <w:rPr>
          <w:rFonts w:ascii="Open Sans;sans-serif" w:hAnsi="Open Sans;sans-serif"/>
          <w:b w:val="false"/>
          <w:color w:val="000000"/>
          <w:sz w:val="20"/>
        </w:rPr>
        <w:t>Basic net income (loss) per share is computed by dividing the net income (loss) by the weighted-average number of shares of common stock outstanding during the period. Diluted net income (loss) per share is computed by dividing net income (loss) by the weighted-average number of shares of common stock outstanding, adjusted for the dilutive effect of all potential shares of common stock. In periods when the Company reported a net loss, diluted net loss per share is the same as basic net loss per share because the effects of potentially dilutive items are anti-dilutive.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7955"/>
                <wp:effectExtent l="0" t="0" r="0" b="0"/>
                <wp:wrapNone/>
                <wp:docPr id="20" name="Frame20"/>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20</w:t>
                      </w:r>
                    </w:p>
                  </w:txbxContent>
                </v:textbox>
                <w10:wrap type="none"/>
              </v:rect>
            </w:pict>
          </mc:Fallback>
        </mc:AlternateContent>
      </w:r>
    </w:p>
    <w:p>
      <w:pPr>
        <w:pStyle w:val="TextBody"/>
        <w:bidi w:val="0"/>
        <w:spacing w:lineRule="auto" w:line="288" w:before="0" w:after="60"/>
        <w:jc w:val="left"/>
        <w:rPr/>
      </w:pPr>
      <w:hyperlink w:anchor="i86ce94018fb640d7903f0edbc68bd8af_7">
        <w:r>
          <w:rPr>
            <w:rStyle w:val="InternetLink"/>
            <w:rFonts w:ascii="Open Sans;sans-serif" w:hAnsi="Open Sans;sans-serif"/>
            <w:b w:val="false"/>
            <w:color w:val="0000FF"/>
            <w:sz w:val="18"/>
            <w:u w:val="single"/>
          </w:rPr>
          <w:t>Table of Contents</w:t>
        </w:r>
      </w:hyperlink>
    </w:p>
    <w:p>
      <w:pPr>
        <w:pStyle w:val="TextBody"/>
        <w:bidi w:val="0"/>
        <w:spacing w:lineRule="auto" w:line="288" w:before="120" w:after="120"/>
        <w:jc w:val="both"/>
        <w:rPr>
          <w:rFonts w:ascii="Open Sans;sans-serif" w:hAnsi="Open Sans;sans-serif"/>
          <w:b w:val="false"/>
          <w:color w:val="000000"/>
          <w:sz w:val="20"/>
        </w:rPr>
      </w:pPr>
      <w:r>
        <w:rPr>
          <w:rFonts w:ascii="Open Sans;sans-serif" w:hAnsi="Open Sans;sans-serif"/>
          <w:b w:val="false"/>
          <w:color w:val="000000"/>
          <w:sz w:val="20"/>
        </w:rPr>
        <w:t xml:space="preserve">The Company calculated basic and diluted net income (loss) per share attributable to common stockholders as follows: </w:t>
      </w:r>
    </w:p>
    <w:tbl>
      <w:tblPr>
        <w:tblW w:w="10205" w:type="dxa"/>
        <w:jc w:val="left"/>
        <w:tblInd w:w="0" w:type="dxa"/>
        <w:tblLayout w:type="fixed"/>
        <w:tblCellMar>
          <w:top w:w="28" w:type="dxa"/>
          <w:left w:w="28" w:type="dxa"/>
          <w:bottom w:w="28" w:type="dxa"/>
          <w:right w:w="28" w:type="dxa"/>
        </w:tblCellMar>
      </w:tblPr>
      <w:tblGrid>
        <w:gridCol w:w="1880"/>
        <w:gridCol w:w="1402"/>
        <w:gridCol w:w="1416"/>
        <w:gridCol w:w="211"/>
        <w:gridCol w:w="616"/>
        <w:gridCol w:w="109"/>
        <w:gridCol w:w="109"/>
        <w:gridCol w:w="109"/>
        <w:gridCol w:w="109"/>
        <w:gridCol w:w="211"/>
        <w:gridCol w:w="511"/>
        <w:gridCol w:w="109"/>
        <w:gridCol w:w="109"/>
        <w:gridCol w:w="109"/>
        <w:gridCol w:w="109"/>
        <w:gridCol w:w="211"/>
        <w:gridCol w:w="652"/>
        <w:gridCol w:w="109"/>
        <w:gridCol w:w="109"/>
        <w:gridCol w:w="109"/>
        <w:gridCol w:w="109"/>
        <w:gridCol w:w="211"/>
        <w:gridCol w:w="547"/>
        <w:gridCol w:w="109"/>
        <w:gridCol w:w="109"/>
        <w:gridCol w:w="109"/>
        <w:gridCol w:w="109"/>
        <w:gridCol w:w="109"/>
        <w:gridCol w:w="109"/>
        <w:gridCol w:w="109"/>
        <w:gridCol w:w="109"/>
        <w:gridCol w:w="157"/>
      </w:tblGrid>
      <w:tr>
        <w:trPr/>
        <w:tc>
          <w:tcPr>
            <w:tcW w:w="1880"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6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2" w:type="dxa"/>
            <w:gridSpan w:val="6"/>
            <w:tcBorders/>
          </w:tcPr>
          <w:p>
            <w:pPr>
              <w:pStyle w:val="TableContents"/>
              <w:bidi w:val="0"/>
              <w:spacing w:before="0" w:after="283"/>
              <w:jc w:val="left"/>
              <w:rPr>
                <w:sz w:val="4"/>
                <w:szCs w:val="4"/>
              </w:rPr>
            </w:pPr>
            <w:r>
              <w:rPr>
                <w:sz w:val="4"/>
                <w:szCs w:val="4"/>
              </w:rPr>
            </w:r>
          </w:p>
        </w:tc>
      </w:tr>
      <w:tr>
        <w:trPr/>
        <w:tc>
          <w:tcPr>
            <w:tcW w:w="46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Open Sans;sans-serif" w:hAnsi="Open Sans;sans-serif"/>
                <w:b/>
                <w:color w:val="000000"/>
                <w:sz w:val="16"/>
              </w:rPr>
            </w:pPr>
            <w:r>
              <w:rPr>
                <w:rFonts w:ascii="Open Sans;sans-serif" w:hAnsi="Open Sans;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gridSpan w:val="4"/>
            <w:tcBorders/>
          </w:tcPr>
          <w:p>
            <w:pPr>
              <w:pStyle w:val="TableContents"/>
              <w:bidi w:val="0"/>
              <w:spacing w:before="0" w:after="283"/>
              <w:jc w:val="left"/>
              <w:rPr>
                <w:sz w:val="4"/>
                <w:szCs w:val="4"/>
              </w:rPr>
            </w:pPr>
            <w:r>
              <w:rPr>
                <w:sz w:val="4"/>
                <w:szCs w:val="4"/>
              </w:rPr>
            </w:r>
          </w:p>
        </w:tc>
      </w:tr>
      <w:tr>
        <w:trPr/>
        <w:tc>
          <w:tcPr>
            <w:tcW w:w="46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Open Sans;sans-serif" w:hAnsi="Open Sans;sans-serif"/>
                <w:b/>
                <w:color w:val="000000"/>
                <w:sz w:val="16"/>
              </w:rPr>
            </w:pPr>
            <w:r>
              <w:rPr>
                <w:rFonts w:ascii="Open Sans;sans-serif" w:hAnsi="Open Sans;sans-serif"/>
                <w:b/>
                <w:color w:val="000000"/>
                <w:sz w:val="16"/>
              </w:rPr>
              <w:t>Class A</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Open Sans;sans-serif" w:hAnsi="Open Sans;sans-serif"/>
                <w:b/>
                <w:color w:val="000000"/>
                <w:sz w:val="16"/>
              </w:rPr>
            </w:pPr>
            <w:r>
              <w:rPr>
                <w:rFonts w:ascii="Open Sans;sans-serif" w:hAnsi="Open Sans;sans-serif"/>
                <w:b/>
                <w:color w:val="000000"/>
                <w:sz w:val="16"/>
              </w:rPr>
              <w:t>Class 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Open Sans;sans-serif" w:hAnsi="Open Sans;sans-serif"/>
                <w:b/>
                <w:color w:val="000000"/>
                <w:sz w:val="16"/>
              </w:rPr>
            </w:pPr>
            <w:r>
              <w:rPr>
                <w:rFonts w:ascii="Open Sans;sans-serif" w:hAnsi="Open Sans;sans-serif"/>
                <w:b/>
                <w:color w:val="000000"/>
                <w:sz w:val="16"/>
              </w:rPr>
              <w:t>Class A</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Open Sans;sans-serif" w:hAnsi="Open Sans;sans-serif"/>
                <w:b/>
                <w:color w:val="000000"/>
                <w:sz w:val="16"/>
              </w:rPr>
            </w:pPr>
            <w:r>
              <w:rPr>
                <w:rFonts w:ascii="Open Sans;sans-serif" w:hAnsi="Open Sans;sans-serif"/>
                <w:b/>
                <w:color w:val="000000"/>
                <w:sz w:val="16"/>
              </w:rPr>
              <w:t>Class B</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Numerator</w:t>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Net income (loss) attributable to common stockholders, 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7,233 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601 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6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(7,711)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5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(549)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Net income (loss) attributable to common stockholders, 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7,218 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616 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6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(7,711)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5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(549)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Denominator</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Weighted-average shares used in computing basic net income (loss) share attributable to common stockholders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395,739 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32,863 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467,927 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33,295 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Effect of dilutive potential shares of common stock</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3,713 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1,256 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6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6"/>
              </w:rPr>
            </w:pPr>
            <w:r>
              <w:rPr>
                <w:rFonts w:ascii="Open Sans;sans-serif" w:hAnsi="Open Sans;sans-serif"/>
                <w:b w:val="false"/>
                <w:color w:val="000000"/>
                <w:sz w:val="16"/>
              </w:rPr>
              <w:t>Weighted-average shares used in computing diluted net income (loss) per share attributable to common stockholders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399,452 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34,119 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467,927 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33,295 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6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6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6"/>
              </w:rPr>
            </w:pPr>
            <w:r>
              <w:rPr>
                <w:rFonts w:ascii="Open Sans;sans-serif" w:hAnsi="Open Sans;sans-serif"/>
                <w:b w:val="false"/>
                <w:color w:val="000000"/>
                <w:sz w:val="16"/>
              </w:rPr>
              <w:t>Net income (loss) per share attributable to common stockholders, 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6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(0.02)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5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(0.02)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6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6"/>
              </w:rPr>
            </w:pPr>
            <w:r>
              <w:rPr>
                <w:rFonts w:ascii="Open Sans;sans-serif" w:hAnsi="Open Sans;sans-serif"/>
                <w:b w:val="false"/>
                <w:color w:val="000000"/>
                <w:sz w:val="16"/>
              </w:rPr>
              <w:t>Net income (loss) per share attributable to common stockholders, 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6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(0.02)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5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(0.02)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 xml:space="preserve">As the liquidation and dividend rights are identical for Class A common stock and Class B common stock, the undistributed earnings are allocated on a proportionate basis and the resulting income or loss per share will, therefore, be the same for both Class A common stock and Class B common stock on an individual or combined basis. </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The following potentially dilutive securities were excluded from the computation of diluted net loss per share during the three months ended March 31, 2025 because including them would have had an anti-dilutive effect as the Company was in a loss position during the period:</w:t>
      </w:r>
    </w:p>
    <w:tbl>
      <w:tblPr>
        <w:tblW w:w="10205" w:type="dxa"/>
        <w:jc w:val="left"/>
        <w:tblInd w:w="0" w:type="dxa"/>
        <w:tblLayout w:type="fixed"/>
        <w:tblCellMar>
          <w:top w:w="28" w:type="dxa"/>
          <w:left w:w="28" w:type="dxa"/>
          <w:bottom w:w="28" w:type="dxa"/>
          <w:right w:w="28" w:type="dxa"/>
        </w:tblCellMar>
      </w:tblPr>
      <w:tblGrid>
        <w:gridCol w:w="2019"/>
        <w:gridCol w:w="1759"/>
        <w:gridCol w:w="1770"/>
        <w:gridCol w:w="617"/>
        <w:gridCol w:w="327"/>
        <w:gridCol w:w="308"/>
        <w:gridCol w:w="308"/>
        <w:gridCol w:w="308"/>
        <w:gridCol w:w="308"/>
        <w:gridCol w:w="355"/>
        <w:gridCol w:w="354"/>
        <w:gridCol w:w="308"/>
        <w:gridCol w:w="109"/>
        <w:gridCol w:w="109"/>
        <w:gridCol w:w="109"/>
        <w:gridCol w:w="109"/>
        <w:gridCol w:w="109"/>
        <w:gridCol w:w="109"/>
        <w:gridCol w:w="109"/>
        <w:gridCol w:w="109"/>
        <w:gridCol w:w="109"/>
        <w:gridCol w:w="109"/>
        <w:gridCol w:w="109"/>
        <w:gridCol w:w="109"/>
        <w:gridCol w:w="156"/>
      </w:tblGrid>
      <w:tr>
        <w:trPr/>
        <w:tc>
          <w:tcPr>
            <w:tcW w:w="2019" w:type="dxa"/>
            <w:tcBorders/>
            <w:vAlign w:val="center"/>
          </w:tcPr>
          <w:p>
            <w:pPr>
              <w:pStyle w:val="TableContents"/>
              <w:bidi w:val="0"/>
              <w:spacing w:before="0" w:after="283"/>
              <w:jc w:val="left"/>
              <w:rPr>
                <w:sz w:val="4"/>
                <w:szCs w:val="4"/>
              </w:rPr>
            </w:pPr>
            <w:r>
              <w:rPr>
                <w:sz w:val="4"/>
                <w:szCs w:val="4"/>
              </w:rPr>
            </w:r>
          </w:p>
        </w:tc>
        <w:tc>
          <w:tcPr>
            <w:tcW w:w="1759" w:type="dxa"/>
            <w:tcBorders/>
            <w:vAlign w:val="center"/>
          </w:tcPr>
          <w:p>
            <w:pPr>
              <w:pStyle w:val="TableContents"/>
              <w:bidi w:val="0"/>
              <w:spacing w:before="0" w:after="283"/>
              <w:jc w:val="left"/>
              <w:rPr>
                <w:sz w:val="4"/>
                <w:szCs w:val="4"/>
              </w:rPr>
            </w:pPr>
            <w:r>
              <w:rPr>
                <w:sz w:val="4"/>
                <w:szCs w:val="4"/>
              </w:rPr>
            </w:r>
          </w:p>
        </w:tc>
        <w:tc>
          <w:tcPr>
            <w:tcW w:w="1770"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548"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0" w:type="dxa"/>
            <w:gridSpan w:val="7"/>
            <w:tcBorders/>
          </w:tcPr>
          <w:p>
            <w:pPr>
              <w:pStyle w:val="TableContents"/>
              <w:bidi w:val="0"/>
              <w:spacing w:before="0" w:after="283"/>
              <w:jc w:val="left"/>
              <w:rPr>
                <w:sz w:val="4"/>
                <w:szCs w:val="4"/>
              </w:rPr>
            </w:pPr>
            <w:r>
              <w:rPr>
                <w:sz w:val="4"/>
                <w:szCs w:val="4"/>
              </w:rPr>
            </w:r>
          </w:p>
        </w:tc>
      </w:tr>
      <w:tr>
        <w:trPr/>
        <w:tc>
          <w:tcPr>
            <w:tcW w:w="5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3"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Open Sans;sans-serif" w:hAnsi="Open Sans;sans-serif"/>
                <w:b/>
                <w:color w:val="000000"/>
                <w:sz w:val="15"/>
              </w:rPr>
            </w:pPr>
            <w:r>
              <w:rPr>
                <w:rFonts w:ascii="Open Sans;sans-serif" w:hAnsi="Open Sans;sans-serif"/>
                <w:b/>
                <w:color w:val="000000"/>
                <w:sz w:val="15"/>
              </w:rPr>
              <w:t>Three Months Ended March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gridSpan w:val="2"/>
            <w:tcBorders/>
          </w:tcPr>
          <w:p>
            <w:pPr>
              <w:pStyle w:val="TableContents"/>
              <w:bidi w:val="0"/>
              <w:spacing w:before="0" w:after="283"/>
              <w:jc w:val="left"/>
              <w:rPr>
                <w:sz w:val="4"/>
                <w:szCs w:val="4"/>
              </w:rPr>
            </w:pPr>
            <w:r>
              <w:rPr>
                <w:sz w:val="4"/>
                <w:szCs w:val="4"/>
              </w:rPr>
            </w:r>
          </w:p>
        </w:tc>
      </w:tr>
      <w:tr>
        <w:trPr/>
        <w:tc>
          <w:tcPr>
            <w:tcW w:w="5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Class A</w:t>
            </w:r>
          </w:p>
        </w:tc>
        <w:tc>
          <w:tcPr>
            <w:tcW w:w="9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Class B</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54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Open Sans;sans-serif" w:hAnsi="Open Sans;sans-serif"/>
                <w:b w:val="false"/>
                <w:color w:val="000000"/>
                <w:sz w:val="20"/>
              </w:rPr>
            </w:pPr>
            <w:r>
              <w:rPr>
                <w:rFonts w:ascii="Open Sans;sans-serif" w:hAnsi="Open Sans;sans-serif"/>
                <w:b w:val="false"/>
                <w:color w:val="000000"/>
                <w:sz w:val="20"/>
              </w:rPr>
              <w:t>Warrants to purchase Class B common stock</w:t>
            </w:r>
          </w:p>
        </w:tc>
        <w:tc>
          <w:tcPr>
            <w:tcW w:w="9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1,900 </w:t>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54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Open Sans;sans-serif" w:hAnsi="Open Sans;sans-serif"/>
                <w:b w:val="false"/>
                <w:color w:val="000000"/>
                <w:sz w:val="20"/>
              </w:rPr>
            </w:pPr>
            <w:r>
              <w:rPr>
                <w:rFonts w:ascii="Open Sans;sans-serif" w:hAnsi="Open Sans;sans-serif"/>
                <w:b w:val="false"/>
                <w:color w:val="000000"/>
                <w:sz w:val="20"/>
              </w:rPr>
              <w:t>Stock options, restricted stock, and employee stock purchase plan</w:t>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48,609 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5,169 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5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Total</w:t>
            </w:r>
          </w:p>
        </w:tc>
        <w:tc>
          <w:tcPr>
            <w:tcW w:w="94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48,609 </w:t>
            </w:r>
          </w:p>
        </w:tc>
        <w:tc>
          <w:tcPr>
            <w:tcW w:w="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7,069 </w:t>
            </w:r>
          </w:p>
        </w:tc>
        <w:tc>
          <w:tcPr>
            <w:tcW w:w="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Potentially dilutive securities that were excluded from the computation of diluted net income per share during the three months ended March 31, 2026 because including them would have had an anti-dilutive effect were as follows:</w:t>
      </w:r>
    </w:p>
    <w:tbl>
      <w:tblPr>
        <w:tblW w:w="10205" w:type="dxa"/>
        <w:jc w:val="left"/>
        <w:tblInd w:w="0" w:type="dxa"/>
        <w:tblLayout w:type="fixed"/>
        <w:tblCellMar>
          <w:top w:w="28" w:type="dxa"/>
          <w:left w:w="28" w:type="dxa"/>
          <w:bottom w:w="28" w:type="dxa"/>
          <w:right w:w="28" w:type="dxa"/>
        </w:tblCellMar>
      </w:tblPr>
      <w:tblGrid>
        <w:gridCol w:w="2084"/>
        <w:gridCol w:w="1832"/>
        <w:gridCol w:w="1837"/>
        <w:gridCol w:w="109"/>
        <w:gridCol w:w="109"/>
        <w:gridCol w:w="562"/>
        <w:gridCol w:w="562"/>
        <w:gridCol w:w="638"/>
        <w:gridCol w:w="568"/>
        <w:gridCol w:w="566"/>
        <w:gridCol w:w="109"/>
        <w:gridCol w:w="109"/>
        <w:gridCol w:w="109"/>
        <w:gridCol w:w="353"/>
        <w:gridCol w:w="353"/>
        <w:gridCol w:w="305"/>
      </w:tblGrid>
      <w:tr>
        <w:trPr/>
        <w:tc>
          <w:tcPr>
            <w:tcW w:w="2084" w:type="dxa"/>
            <w:tcBorders/>
            <w:vAlign w:val="center"/>
          </w:tcPr>
          <w:p>
            <w:pPr>
              <w:pStyle w:val="TableContents"/>
              <w:bidi w:val="0"/>
              <w:spacing w:before="0" w:after="283"/>
              <w:jc w:val="left"/>
              <w:rPr>
                <w:sz w:val="4"/>
                <w:szCs w:val="4"/>
              </w:rPr>
            </w:pPr>
            <w:r>
              <w:rPr>
                <w:sz w:val="4"/>
                <w:szCs w:val="4"/>
              </w:rPr>
            </w:r>
          </w:p>
        </w:tc>
        <w:tc>
          <w:tcPr>
            <w:tcW w:w="1832" w:type="dxa"/>
            <w:tcBorders/>
            <w:vAlign w:val="center"/>
          </w:tcPr>
          <w:p>
            <w:pPr>
              <w:pStyle w:val="TableContents"/>
              <w:bidi w:val="0"/>
              <w:spacing w:before="0" w:after="283"/>
              <w:jc w:val="left"/>
              <w:rPr>
                <w:sz w:val="4"/>
                <w:szCs w:val="4"/>
              </w:rPr>
            </w:pPr>
            <w:r>
              <w:rPr>
                <w:sz w:val="4"/>
                <w:szCs w:val="4"/>
              </w:rPr>
            </w:r>
          </w:p>
        </w:tc>
        <w:tc>
          <w:tcPr>
            <w:tcW w:w="1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r>
      <w:tr>
        <w:trPr/>
        <w:tc>
          <w:tcPr>
            <w:tcW w:w="5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6" w:type="dxa"/>
            <w:gridSpan w:val="5"/>
            <w:tcBorders/>
            <w:tcMar>
              <w:top w:w="0" w:type="dxa"/>
              <w:left w:w="0" w:type="dxa"/>
              <w:bottom w:w="0" w:type="dxa"/>
              <w:right w:w="0" w:type="dxa"/>
            </w:tcMar>
            <w:vAlign w:val="center"/>
          </w:tcPr>
          <w:p>
            <w:pPr>
              <w:pStyle w:val="TableContents"/>
              <w:bidi w:val="0"/>
              <w:spacing w:lineRule="auto" w:line="240" w:before="0" w:after="0"/>
              <w:jc w:val="center"/>
              <w:rPr>
                <w:rFonts w:ascii="Open Sans;sans-serif" w:hAnsi="Open Sans;sans-serif"/>
                <w:b/>
                <w:color w:val="000000"/>
                <w:sz w:val="15"/>
              </w:rPr>
            </w:pPr>
            <w:r>
              <w:rPr>
                <w:rFonts w:ascii="Open Sans;sans-serif" w:hAnsi="Open Sans;sans-serif"/>
                <w:b/>
                <w:color w:val="000000"/>
                <w:sz w:val="15"/>
              </w:rPr>
              <w:t>Three Months Ended March 31, 2026</w:t>
            </w:r>
          </w:p>
        </w:tc>
        <w:tc>
          <w:tcPr>
            <w:tcW w:w="1338" w:type="dxa"/>
            <w:gridSpan w:val="6"/>
            <w:tcBorders/>
          </w:tcPr>
          <w:p>
            <w:pPr>
              <w:pStyle w:val="TableContents"/>
              <w:bidi w:val="0"/>
              <w:spacing w:before="0" w:after="283"/>
              <w:jc w:val="left"/>
              <w:rPr>
                <w:sz w:val="4"/>
                <w:szCs w:val="4"/>
              </w:rPr>
            </w:pPr>
            <w:r>
              <w:rPr>
                <w:sz w:val="4"/>
                <w:szCs w:val="4"/>
              </w:rPr>
            </w:r>
          </w:p>
        </w:tc>
      </w:tr>
      <w:tr>
        <w:trPr/>
        <w:tc>
          <w:tcPr>
            <w:tcW w:w="5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7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Open Sans;sans-serif" w:hAnsi="Open Sans;sans-serif"/>
                <w:b/>
                <w:color w:val="000000"/>
                <w:sz w:val="15"/>
              </w:rPr>
            </w:pPr>
            <w:r>
              <w:rPr>
                <w:rFonts w:ascii="Open Sans;sans-serif" w:hAnsi="Open Sans;sans-serif"/>
                <w:b/>
                <w:color w:val="000000"/>
                <w:sz w:val="15"/>
              </w:rPr>
              <w:t>Class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Open Sans;sans-serif" w:hAnsi="Open Sans;sans-serif"/>
                <w:b/>
                <w:color w:val="000000"/>
                <w:sz w:val="15"/>
              </w:rPr>
            </w:pPr>
            <w:r>
              <w:rPr>
                <w:rFonts w:ascii="Open Sans;sans-serif" w:hAnsi="Open Sans;sans-serif"/>
                <w:b/>
                <w:color w:val="000000"/>
                <w:sz w:val="15"/>
              </w:rPr>
              <w:t>Class B</w:t>
            </w:r>
          </w:p>
        </w:tc>
      </w:tr>
      <w:tr>
        <w:trPr/>
        <w:tc>
          <w:tcPr>
            <w:tcW w:w="57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57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57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57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Stock options, restricted stock, and employee stock purchase plan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2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14,217 </w:t>
            </w:r>
          </w:p>
        </w:tc>
        <w:tc>
          <w:tcPr>
            <w:tcW w:w="5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1,891 </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20" w:after="283"/>
        <w:jc w:val="both"/>
        <w:rPr>
          <w:rFonts w:ascii="Open Sans;sans-serif" w:hAnsi="Open Sans;sans-serif"/>
          <w:b/>
          <w:color w:val="000000"/>
          <w:sz w:val="20"/>
        </w:rPr>
      </w:pPr>
      <w:r>
        <w:rPr>
          <w:rFonts w:ascii="Open Sans;sans-serif" w:hAnsi="Open Sans;sans-serif"/>
          <w:b/>
          <w:color w:val="000000"/>
          <w:sz w:val="20"/>
        </w:rPr>
        <w:t>13.    Income Tax</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The Company recorded income tax expense of $0.2 million for each of the three month periods ended March 31, 2026 and 2025, which was primarily attributable to income tax expense in profitable foreign jurisdictions for both respective periods.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The Company is subject to income tax audits in the U.S. and foreign jurisdictions. The Company records liabilities related to uncertain tax positions and believes that it has provided adequate reserves for income tax uncertainties in all open tax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7955"/>
                <wp:effectExtent l="0" t="0" r="0" b="0"/>
                <wp:wrapNone/>
                <wp:docPr id="21" name="Frame21"/>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21</w:t>
                      </w:r>
                    </w:p>
                  </w:txbxContent>
                </v:textbox>
                <w10:wrap type="none"/>
              </v:rect>
            </w:pict>
          </mc:Fallback>
        </mc:AlternateContent>
      </w:r>
    </w:p>
    <w:p>
      <w:pPr>
        <w:pStyle w:val="TextBody"/>
        <w:bidi w:val="0"/>
        <w:spacing w:lineRule="auto" w:line="288" w:before="0" w:after="60"/>
        <w:jc w:val="left"/>
        <w:rPr/>
      </w:pPr>
      <w:hyperlink w:anchor="i86ce94018fb640d7903f0edbc68bd8af_7">
        <w:r>
          <w:rPr>
            <w:rStyle w:val="InternetLink"/>
            <w:rFonts w:ascii="Open Sans;sans-serif" w:hAnsi="Open Sans;sans-serif"/>
            <w:b w:val="false"/>
            <w:color w:val="0000FF"/>
            <w:sz w:val="18"/>
            <w:u w:val="single"/>
          </w:rPr>
          <w:t>Table of Contents</w:t>
        </w:r>
      </w:hyperlink>
    </w:p>
    <w:p>
      <w:pPr>
        <w:pStyle w:val="TextBody"/>
        <w:bidi w:val="0"/>
        <w:spacing w:lineRule="auto" w:line="288" w:before="420" w:after="283"/>
        <w:jc w:val="left"/>
        <w:rPr>
          <w:rFonts w:ascii="Open Sans;sans-serif" w:hAnsi="Open Sans;sans-serif"/>
          <w:b/>
          <w:color w:val="000000"/>
          <w:sz w:val="20"/>
        </w:rPr>
      </w:pPr>
      <w:r>
        <w:rPr>
          <w:rFonts w:ascii="Open Sans;sans-serif" w:hAnsi="Open Sans;sans-serif"/>
          <w:b/>
          <w:color w:val="000000"/>
          <w:sz w:val="20"/>
        </w:rPr>
        <w:t xml:space="preserve">14.    Concentration Risks and Significant Customers </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 xml:space="preserve">Financial instruments that potentially expose the Company to concentration of credit risk consist of cash and cash equivalents, short-term investments, and accounts receivable. Cash and cash equivalents held with financial institutions may exceed federally insured limits, posing potential credit risk. </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 xml:space="preserve">As of March 31, 2026 and December 31, 2025, short-term investments were $37.3 million and $62.5 million, respectively, and there was no concentration of securities of the same issuer with an aggregate fair value greater than 5% of the total balance, except for U.S. treasury securities, which amounted to $32.0 million, or 86%, at March 31, 2026 and $56.1 million, or 90%, at December 31, 2025, respectively. </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 xml:space="preserve">A significant portion of the Company's payment transactions are settled through one Issuing Bank, Sutton Bank. For the three months ended March 31, 2026 and 2025, 61% and 67%, respectively, of Total Processing Volume, which is the total dollar amount of payments processed through the Company’s platform, net of returns and chargebacks, was settled through Sutton Bank. </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 xml:space="preserve">The Company derives a significant portion of its revenue from one customer. This customer accounted for 42% and 45% of net revenue for the three months ended March 31, 2026 and 2025, respectively. As of March 31, 2026, two separate customers accounted for 19% and 13% of the Company’s accounts receivable balance. As of December 31, 2025, two separate customers accounted for 12% and 12% of the Company’s accounts receivable balance.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Open Sans;sans-serif" w:hAnsi="Open Sans;sans-serif"/>
          <w:b/>
          <w:color w:val="000000"/>
          <w:sz w:val="20"/>
        </w:rPr>
      </w:pPr>
      <w:r>
        <w:rPr>
          <w:rFonts w:ascii="Open Sans;sans-serif" w:hAnsi="Open Sans;sans-serif"/>
          <w:b/>
          <w:color w:val="000000"/>
          <w:sz w:val="20"/>
        </w:rPr>
        <w:t>15.    Segment Information</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The Company's chief operating decision maker (“CODM”) is its Chief Executive Officer, who regularly reviews financial information presented on a consolidated basis for purposes of allocating resources and evaluating financial performance. The Company provides a single, global, cloud-based, open API platform for modern card issuing and transaction processing, and primarily earns revenue from processing card transactions for its customers. As such, the Company operates as a single operating segment and reporting unit.</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 xml:space="preserve">The CODM assesses performance and decides how to allocate resources based on consolidated net income or loss as the measure of profit and loss and consolidated total assets. The measure of segment assets is reported on the balance sheet as total assets. The CODM uses net income or loss in the annual budgeting process and subsequent monitoring of budget versus actual results as well as in assessing the return on consolidated total assets.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7955"/>
                <wp:effectExtent l="0" t="0" r="0" b="0"/>
                <wp:wrapNone/>
                <wp:docPr id="22" name="Frame22"/>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22</w:t>
                      </w:r>
                    </w:p>
                  </w:txbxContent>
                </v:textbox>
                <w10:wrap type="none"/>
              </v:rect>
            </w:pict>
          </mc:Fallback>
        </mc:AlternateContent>
      </w:r>
    </w:p>
    <w:p>
      <w:pPr>
        <w:pStyle w:val="TextBody"/>
        <w:bidi w:val="0"/>
        <w:spacing w:lineRule="auto" w:line="288" w:before="0" w:after="60"/>
        <w:jc w:val="left"/>
        <w:rPr/>
      </w:pPr>
      <w:hyperlink w:anchor="i86ce94018fb640d7903f0edbc68bd8af_7">
        <w:r>
          <w:rPr>
            <w:rStyle w:val="InternetLink"/>
            <w:rFonts w:ascii="Open Sans;sans-serif" w:hAnsi="Open Sans;sans-serif"/>
            <w:b w:val="false"/>
            <w:color w:val="0000FF"/>
            <w:sz w:val="18"/>
            <w:u w:val="single"/>
          </w:rPr>
          <w:t>Table of Contents</w:t>
        </w:r>
      </w:hyperlink>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The following is the information used by the CODM in assessing segment performance:</w:t>
      </w:r>
    </w:p>
    <w:tbl>
      <w:tblPr>
        <w:tblW w:w="7844" w:type="dxa"/>
        <w:jc w:val="left"/>
        <w:tblInd w:w="0" w:type="dxa"/>
        <w:tblLayout w:type="fixed"/>
        <w:tblCellMar>
          <w:top w:w="28" w:type="dxa"/>
          <w:left w:w="28" w:type="dxa"/>
          <w:bottom w:w="28" w:type="dxa"/>
          <w:right w:w="28" w:type="dxa"/>
        </w:tblCellMar>
      </w:tblPr>
      <w:tblGrid>
        <w:gridCol w:w="1568"/>
        <w:gridCol w:w="1378"/>
        <w:gridCol w:w="1389"/>
        <w:gridCol w:w="237"/>
        <w:gridCol w:w="992"/>
        <w:gridCol w:w="114"/>
        <w:gridCol w:w="114"/>
        <w:gridCol w:w="114"/>
        <w:gridCol w:w="114"/>
        <w:gridCol w:w="237"/>
        <w:gridCol w:w="992"/>
        <w:gridCol w:w="114"/>
        <w:gridCol w:w="109"/>
        <w:gridCol w:w="109"/>
        <w:gridCol w:w="109"/>
        <w:gridCol w:w="154"/>
      </w:tblGrid>
      <w:tr>
        <w:trPr/>
        <w:tc>
          <w:tcPr>
            <w:tcW w:w="1568"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2026</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Net revenue</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9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165,798 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9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139,073 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Cost of revenue</w:t>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48,206 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40,394 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Gross profit</w:t>
            </w:r>
          </w:p>
        </w:tc>
        <w:tc>
          <w:tcPr>
            <w:tcW w:w="12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117,592 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98,679 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Significant expenses:</w:t>
            </w:r>
          </w:p>
        </w:tc>
        <w:tc>
          <w:tcPr>
            <w:tcW w:w="13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Employee compensation and benefits</w:t>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58,001 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60,135 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Share based compensation</w:t>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20,017 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25,915 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Technology</w:t>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18,090 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14,811 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Depreciation and amortization</w:t>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8,854 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5,331 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Professional services</w:t>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4,631 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5,695 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8"/>
              </w:rPr>
            </w:pPr>
            <w:r>
              <w:rPr>
                <w:rFonts w:ascii="Open Sans;sans-serif" w:hAnsi="Open Sans;sans-serif"/>
                <w:b w:val="false"/>
                <w:color w:val="000000"/>
                <w:sz w:val="18"/>
              </w:rPr>
              <w:t>Occupancy</w:t>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1,179 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917 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Marketing and advertising</w:t>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1,160 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469 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Other operating expenses</w:t>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3,566 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3,944 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35"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8"/>
              </w:rPr>
            </w:pPr>
            <w:r>
              <w:rPr>
                <w:rFonts w:ascii="Open Sans;sans-serif" w:hAnsi="Open Sans;sans-serif"/>
                <w:b w:val="false"/>
                <w:color w:val="000000"/>
                <w:sz w:val="18"/>
              </w:rPr>
              <w:t>Income (loss) from operations</w:t>
            </w:r>
          </w:p>
        </w:tc>
        <w:tc>
          <w:tcPr>
            <w:tcW w:w="12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2,094 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(18,538)</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Interest income</w:t>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5,363 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10,487 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8"/>
              </w:rPr>
            </w:pPr>
            <w:r>
              <w:rPr>
                <w:rFonts w:ascii="Open Sans;sans-serif" w:hAnsi="Open Sans;sans-serif"/>
                <w:b w:val="false"/>
                <w:color w:val="000000"/>
                <w:sz w:val="18"/>
              </w:rPr>
              <w:t>Other income</w:t>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570 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26 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8"/>
              </w:rPr>
            </w:pPr>
            <w:r>
              <w:rPr>
                <w:rFonts w:ascii="Open Sans;sans-serif" w:hAnsi="Open Sans;sans-serif"/>
                <w:b w:val="false"/>
                <w:color w:val="000000"/>
                <w:sz w:val="18"/>
              </w:rPr>
              <w:t>Income tax expense</w:t>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193 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235 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Open Sans;sans-serif" w:hAnsi="Open Sans;sans-serif"/>
                <w:b w:val="false"/>
                <w:color w:val="000000"/>
                <w:sz w:val="18"/>
              </w:rPr>
              <w:t>Segment and consolidated net income (loss)</w:t>
            </w:r>
            <w:r>
              <w:rPr>
                <w:rFonts w:ascii="Open Sans;sans-serif" w:hAnsi="Open Sans;sans-serif"/>
                <w:b w:val="false"/>
                <w:color w:val="000000"/>
                <w:sz w:val="12"/>
              </w:rPr>
              <w:t>(1)</w:t>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9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7,834 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9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(8,260)</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35"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35"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35"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35"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Open Sans;sans-serif" w:hAnsi="Open Sans;sans-serif"/>
          <w:b w:val="false"/>
          <w:color w:val="000000"/>
          <w:sz w:val="16"/>
        </w:rPr>
      </w:pPr>
      <w:r>
        <w:rPr>
          <w:rFonts w:ascii="Open Sans;sans-serif" w:hAnsi="Open Sans;sans-serif"/>
          <w:b w:val="false"/>
          <w:color w:val="000000"/>
          <w:sz w:val="16"/>
        </w:rPr>
        <w:t xml:space="preserve">(1) The Company operates as a single reportable segment that is managed on a consolidated basis, therefore the Company’s segment net income (loss) is the same as the Company’s consolidated net income (loss). </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 xml:space="preserve">Net revenue outside of the United States, based on the billing address of the customer, was 17% and 11%, for the three months ended March 31, 2026 and 2025, respectively. </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 xml:space="preserve">As of March 31, 2026 and December 31, 2025, tangible long lived assets outside of the US were not material and not used by the CODM in assessing and evaluating financial performance and allocating resources. </w:t>
      </w:r>
    </w:p>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7955"/>
                <wp:effectExtent l="0" t="0" r="0" b="0"/>
                <wp:wrapNone/>
                <wp:docPr id="23" name="Frame23"/>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23</w:t>
                      </w:r>
                    </w:p>
                  </w:txbxContent>
                </v:textbox>
                <w10:wrap type="none"/>
              </v:rect>
            </w:pict>
          </mc:Fallback>
        </mc:AlternateContent>
      </w:r>
    </w:p>
    <w:p>
      <w:pPr>
        <w:pStyle w:val="TextBody"/>
        <w:bidi w:val="0"/>
        <w:spacing w:lineRule="auto" w:line="288" w:before="0" w:after="60"/>
        <w:jc w:val="left"/>
        <w:rPr/>
      </w:pPr>
      <w:hyperlink w:anchor="i86ce94018fb640d7903f0edbc68bd8af_7">
        <w:r>
          <w:rPr>
            <w:rStyle w:val="InternetLink"/>
            <w:rFonts w:ascii="Open Sans;sans-serif" w:hAnsi="Open Sans;sans-serif"/>
            <w:b w:val="false"/>
            <w:color w:val="0000FF"/>
            <w:sz w:val="18"/>
            <w:u w:val="single"/>
          </w:rPr>
          <w:t>Table of Contents</w:t>
        </w:r>
      </w:hyperlink>
    </w:p>
    <w:p>
      <w:pPr>
        <w:pStyle w:val="TextBody"/>
        <w:bidi w:val="0"/>
        <w:spacing w:lineRule="auto" w:line="288" w:before="360" w:after="283"/>
        <w:jc w:val="left"/>
        <w:rPr>
          <w:rFonts w:ascii="Open Sans;sans-serif" w:hAnsi="Open Sans;sans-serif"/>
          <w:b/>
          <w:color w:val="000000"/>
          <w:sz w:val="20"/>
        </w:rPr>
      </w:pPr>
      <w:r>
        <w:rPr>
          <w:rFonts w:ascii="Open Sans;sans-serif" w:hAnsi="Open Sans;sans-serif"/>
          <w:b/>
          <w:color w:val="000000"/>
          <w:sz w:val="20"/>
        </w:rPr>
        <w:t>16.    Subsequent Events</w:t>
      </w:r>
    </w:p>
    <w:p>
      <w:pPr>
        <w:pStyle w:val="TextBody"/>
        <w:bidi w:val="0"/>
        <w:spacing w:lineRule="auto" w:line="288" w:before="360" w:after="283"/>
        <w:jc w:val="both"/>
        <w:rPr>
          <w:rFonts w:ascii="Open Sans;sans-serif" w:hAnsi="Open Sans;sans-serif"/>
          <w:b w:val="false"/>
          <w:color w:val="000000"/>
          <w:sz w:val="20"/>
        </w:rPr>
      </w:pPr>
      <w:r>
        <w:rPr>
          <w:rFonts w:ascii="Open Sans;sans-serif" w:hAnsi="Open Sans;sans-serif"/>
          <w:b w:val="false"/>
          <w:color w:val="000000"/>
          <w:sz w:val="20"/>
        </w:rPr>
        <w:t>On April 10, 2026, the Company filed a preliminary proxy statement on Schedule 14A with the Securities and Exchange Commission in connection with its 2026 Annual Meeting of Stockholders scheduled for June 10, 2026. Among the proposals to be considered by stockholders is a proposal to approve an amendment to the Company’s Amended and Restated Certificate of Incorporation to (i) effect a 1-for-4 reverse stock split of the Company’s Class A common stock, Class B common stock, and preferred stock and (ii) make a proportional reduction in the number of authorized shares of each class. If approved by stockholders, the Company’s Chief Executive Officer and Chief Financial Officer, in consultation with the Board of Directors, will have sole discretion to determine whether and when to implement the reverse stock split and authorized shares reduction, if at all, provided any such action occurs within one year of stockholder approval. The Company can provide no assurance that the reverse stock split will be implemented or that it will achieve any of the intended benefits.</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7955"/>
                <wp:effectExtent l="0" t="0" r="0" b="0"/>
                <wp:wrapNone/>
                <wp:docPr id="24" name="Frame24"/>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24</w:t>
                      </w:r>
                    </w:p>
                  </w:txbxContent>
                </v:textbox>
                <w10:wrap type="none"/>
              </v:rect>
            </w:pict>
          </mc:Fallback>
        </mc:AlternateContent>
      </w:r>
    </w:p>
    <w:p>
      <w:pPr>
        <w:pStyle w:val="TextBody"/>
        <w:bidi w:val="0"/>
        <w:spacing w:lineRule="auto" w:line="288" w:before="0" w:after="60"/>
        <w:jc w:val="left"/>
        <w:rPr/>
      </w:pPr>
      <w:hyperlink w:anchor="i86ce94018fb640d7903f0edbc68bd8af_7">
        <w:r>
          <w:rPr>
            <w:rStyle w:val="InternetLink"/>
            <w:rFonts w:ascii="Open Sans;sans-serif" w:hAnsi="Open Sans;sans-serif"/>
            <w:b w:val="false"/>
            <w:color w:val="0000FF"/>
            <w:sz w:val="18"/>
            <w:u w:val="single"/>
          </w:rPr>
          <w:t>Table of Contents</w:t>
        </w:r>
      </w:hyperlink>
    </w:p>
    <w:p>
      <w:pPr>
        <w:pStyle w:val="TextBody"/>
        <w:bidi w:val="0"/>
        <w:spacing w:before="0" w:after="0"/>
        <w:jc w:val="center"/>
        <w:rPr/>
      </w:pPr>
      <w:r>
        <w:rPr/>
      </w:r>
    </w:p>
    <w:p>
      <w:pPr>
        <w:pStyle w:val="TextBody"/>
        <w:bidi w:val="0"/>
        <w:spacing w:lineRule="auto" w:line="288" w:before="360" w:after="283"/>
        <w:jc w:val="left"/>
        <w:rPr>
          <w:rFonts w:ascii="Open Sans;sans-serif" w:hAnsi="Open Sans;sans-serif"/>
          <w:b/>
          <w:color w:val="231F20"/>
          <w:sz w:val="20"/>
        </w:rPr>
      </w:pPr>
      <w:r>
        <w:rPr>
          <w:rFonts w:ascii="Open Sans;sans-serif" w:hAnsi="Open Sans;sans-serif"/>
          <w:b/>
          <w:color w:val="231F20"/>
          <w:sz w:val="20"/>
        </w:rPr>
        <w:t>Item 2. Management's Discussion and Analysis of Financial Condition and Results of Operations</w:t>
      </w:r>
    </w:p>
    <w:p>
      <w:pPr>
        <w:pStyle w:val="TextBody"/>
        <w:bidi w:val="0"/>
        <w:spacing w:lineRule="auto" w:line="288" w:before="120" w:after="283"/>
        <w:jc w:val="both"/>
        <w:rPr>
          <w:rFonts w:ascii="Open Sans;sans-serif" w:hAnsi="Open Sans;sans-serif"/>
          <w:b w:val="false"/>
          <w:i/>
          <w:color w:val="000000"/>
          <w:sz w:val="20"/>
        </w:rPr>
      </w:pPr>
      <w:r>
        <w:rPr>
          <w:rFonts w:ascii="Open Sans;sans-serif" w:hAnsi="Open Sans;sans-serif"/>
          <w:b w:val="false"/>
          <w:i/>
          <w:color w:val="000000"/>
          <w:sz w:val="20"/>
        </w:rPr>
        <w:t>You should read the following discussion and analysis of our financial condition and results of operations together with our Condensed Consolidated Financial Statements and the related notes included elsewhere in this Quarterly Report on Form 10-Q and in our 2025 Annual Report. This discussion contains forward-looking statements based upon current expectations that involve risks and uncertainties. As discussed in the section titled “Note About Forward Looking Statements”, our actual results may differ materially from those discussed in these forward-looking statements as a result of various factors, including those set forth or incorporated by reference under the section titled “Risk Factors” in this Quarterly Report on Form 10-Q and in our 2025 Annual Report.</w:t>
      </w:r>
    </w:p>
    <w:p>
      <w:pPr>
        <w:pStyle w:val="TextBody"/>
        <w:bidi w:val="0"/>
        <w:spacing w:lineRule="auto" w:line="288" w:before="120" w:after="283"/>
        <w:ind w:left="0" w:right="0" w:firstLine="720"/>
        <w:jc w:val="center"/>
        <w:rPr>
          <w:rFonts w:ascii="Open Sans;sans-serif" w:hAnsi="Open Sans;sans-serif"/>
          <w:b/>
          <w:color w:val="000000"/>
          <w:sz w:val="20"/>
        </w:rPr>
      </w:pPr>
      <w:r>
        <w:rPr>
          <w:rFonts w:ascii="Open Sans;sans-serif" w:hAnsi="Open Sans;sans-serif"/>
          <w:b/>
          <w:color w:val="000000"/>
          <w:sz w:val="20"/>
        </w:rPr>
        <w:t>Overview</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Marqeta’s mission is modernizing financial services by making the entire payment experience native and delightful. Marqeta’s modern platform empowers our customers to create customized and innovative payment card programs with configurability and flexibility. Marqeta’s open APIs provide instant access to highly scalable, cloud-based payment infrastructure that enables customers to embed the payments experience into apps or websites for a personalized user experience. Customers can launch and manage their own card programs, issue cards, and authorize and settle payment transactions quickly using our platform. We also deliver robust bank, network, and card program management and value added services, allowing our customers to embed Marqeta in their offering without having to build certain complex compliance elements or customer support services.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 xml:space="preserve">Marqeta’s innovative products are developed with deep domain expertise and a customer-first mindset to launch, scale, and manage card programs. Marqeta provides the following offerings based on a customer’s desired level of control and responsibility: </w:t>
      </w:r>
    </w:p>
    <w:p>
      <w:pPr>
        <w:pStyle w:val="TextBody"/>
        <w:bidi w:val="0"/>
        <w:spacing w:lineRule="auto" w:line="288" w:before="120" w:after="283"/>
        <w:ind w:left="0" w:right="0" w:hanging="360"/>
        <w:jc w:val="both"/>
        <w:rPr/>
      </w:pPr>
      <w:r>
        <w:rPr>
          <w:color w:val="000000"/>
        </w:rPr>
        <w:t>•</w:t>
      </w:r>
      <w:r>
        <w:rPr>
          <w:rFonts w:ascii="Open Sans;sans-serif" w:hAnsi="Open Sans;sans-serif"/>
          <w:b w:val="false"/>
          <w:color w:val="000000"/>
          <w:sz w:val="20"/>
        </w:rPr>
        <w:t>Processing: Marqeta provides all of its customers with issuer processor services as our core offering. Payment processing provides customers with access to the Marqeta dashboard via our APIs and webhooks, our JIT Funding feature, and assists with certain configuration elements that enable customers to use the platform independently.</w:t>
      </w:r>
    </w:p>
    <w:p>
      <w:pPr>
        <w:pStyle w:val="TextBody"/>
        <w:bidi w:val="0"/>
        <w:spacing w:lineRule="auto" w:line="288" w:before="120" w:after="283"/>
        <w:ind w:left="0" w:right="0" w:hanging="360"/>
        <w:jc w:val="both"/>
        <w:rPr/>
      </w:pPr>
      <w:r>
        <w:rPr>
          <w:color w:val="000000"/>
        </w:rPr>
        <w:t>•</w:t>
      </w:r>
      <w:r>
        <w:rPr>
          <w:rFonts w:ascii="Open Sans;sans-serif" w:hAnsi="Open Sans;sans-serif"/>
          <w:b w:val="false"/>
          <w:color w:val="000000"/>
          <w:sz w:val="20"/>
        </w:rPr>
        <w:t>Bank and Network Management: Marqeta provides a service option to connect customers to an Issuing Bank partner to act as the BIN sponsor for the customer’s card program, define and manage a number of the primary tasks related to launching a card program, and can provide a full range of services including configuring many of the critical resources required by a customer’s production environment and managing the applicable regulations and the Issuing Bank. In addition, Marqeta provides another service offering to manage compliance with applicable Card Network rules.</w:t>
      </w:r>
    </w:p>
    <w:p>
      <w:pPr>
        <w:pStyle w:val="TextBody"/>
        <w:bidi w:val="0"/>
        <w:spacing w:lineRule="auto" w:line="288" w:before="120" w:after="283"/>
        <w:ind w:left="0" w:right="0" w:hanging="360"/>
        <w:jc w:val="both"/>
        <w:rPr/>
      </w:pPr>
      <w:r>
        <w:rPr>
          <w:color w:val="000000"/>
        </w:rPr>
        <w:t>•</w:t>
      </w:r>
      <w:r>
        <w:rPr>
          <w:rFonts w:ascii="Open Sans;sans-serif" w:hAnsi="Open Sans;sans-serif"/>
          <w:b w:val="false"/>
          <w:color w:val="000000"/>
          <w:sz w:val="20"/>
        </w:rPr>
        <w:t xml:space="preserve">Program Management: Marqeta provides additional program management services that are required as part of a card program, including chargebacks and dispute resolution, reconciliation, and card fulfillment. </w:t>
      </w:r>
    </w:p>
    <w:p>
      <w:pPr>
        <w:pStyle w:val="TextBody"/>
        <w:bidi w:val="0"/>
        <w:spacing w:lineRule="auto" w:line="288" w:before="120" w:after="60"/>
        <w:ind w:left="0" w:right="0" w:hanging="360"/>
        <w:jc w:val="both"/>
        <w:rPr/>
      </w:pPr>
      <w:r>
        <w:rPr>
          <w:color w:val="000000"/>
        </w:rPr>
        <w:t>•</w:t>
      </w:r>
      <w:r>
        <w:rPr>
          <w:rFonts w:ascii="Open Sans;sans-serif" w:hAnsi="Open Sans;sans-serif"/>
          <w:b w:val="false"/>
          <w:color w:val="000000"/>
          <w:sz w:val="20"/>
        </w:rPr>
        <w:t>Value Added Services: Marqeta provides value added services that offer a more seamless experience for our customers, which include tokenization, real-time decisioning and fraud management, digital banking, and other customer experience services.</w:t>
      </w:r>
    </w:p>
    <w:p>
      <w:pPr>
        <w:pStyle w:val="TextBody"/>
        <w:bidi w:val="0"/>
        <w:spacing w:before="120" w:after="283"/>
        <w:jc w:val="both"/>
        <w:rPr/>
      </w:pPr>
      <w:r>
        <w:rPr/>
      </w:r>
    </w:p>
    <w:p>
      <w:pPr>
        <w:pStyle w:val="TextBody"/>
        <w:bidi w:val="0"/>
        <w:spacing w:lineRule="auto" w:line="288" w:before="120" w:after="283"/>
        <w:ind w:left="0" w:right="0" w:firstLine="720"/>
        <w:jc w:val="center"/>
        <w:rPr>
          <w:rFonts w:ascii="Open Sans;sans-serif" w:hAnsi="Open Sans;sans-serif"/>
          <w:b/>
          <w:color w:val="000000"/>
          <w:sz w:val="20"/>
        </w:rPr>
      </w:pPr>
      <w:r>
        <w:rPr>
          <w:rFonts w:ascii="Open Sans;sans-serif" w:hAnsi="Open Sans;sans-serif"/>
          <w:b/>
          <w:color w:val="000000"/>
          <w:sz w:val="20"/>
        </w:rPr>
        <w:t>Impact of Macroeconomic Factors</w:t>
      </w:r>
    </w:p>
    <w:p>
      <w:pPr>
        <w:pStyle w:val="TextBody"/>
        <w:bidi w:val="0"/>
        <w:spacing w:lineRule="auto" w:line="288" w:before="60" w:after="283"/>
        <w:jc w:val="both"/>
        <w:rPr>
          <w:rFonts w:ascii="Open Sans;sans-serif" w:hAnsi="Open Sans;sans-serif"/>
          <w:b w:val="false"/>
          <w:color w:val="000000"/>
          <w:sz w:val="20"/>
        </w:rPr>
      </w:pPr>
      <w:r>
        <w:rPr>
          <w:rFonts w:ascii="Open Sans;sans-serif" w:hAnsi="Open Sans;sans-serif"/>
          <w:b w:val="false"/>
          <w:color w:val="000000"/>
          <w:sz w:val="20"/>
        </w:rPr>
        <w:t>We are unable to predict the impact macroeconomic factors, including various geopolitical conflicts, uncertainty related to global elections, changes in inflation and interest rates, and uncertainty in global regulatory and economic conditions, including as a result of uncertainty in global trade from potential tariffs and counter tariffs, will have on our processing volumes, and on our future results of operations. A deterioration in macroeconomic conditions could increase the risk of lower consumer spending, including discretionary spending, consumer and merchant bankruptcy, insolvency, business failure, higher credit losses, foreign currency fluctuations, or other business interruption, which may adversely impact our business. We continue to monitor these situations and may take actions that alter our operations and business practices as may be required by federal, state, or local authorities or that we determine are in the best interests of our customers, vendors, and employees. See the section titled “Risk Factors” in this Quarterly Report on Form 10-Q and in our 2025 Annual Report for further discussion or incorporation by reference of the possible impact of these macroeconomic factors on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7955"/>
                <wp:effectExtent l="0" t="0" r="0" b="0"/>
                <wp:wrapNone/>
                <wp:docPr id="25" name="Frame25"/>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25</w:t>
                      </w:r>
                    </w:p>
                  </w:txbxContent>
                </v:textbox>
                <w10:wrap type="none"/>
              </v:rect>
            </w:pict>
          </mc:Fallback>
        </mc:AlternateContent>
      </w:r>
    </w:p>
    <w:p>
      <w:pPr>
        <w:pStyle w:val="TextBody"/>
        <w:bidi w:val="0"/>
        <w:spacing w:lineRule="auto" w:line="288" w:before="0" w:after="60"/>
        <w:jc w:val="left"/>
        <w:rPr/>
      </w:pPr>
      <w:hyperlink w:anchor="i86ce94018fb640d7903f0edbc68bd8af_7">
        <w:r>
          <w:rPr>
            <w:rStyle w:val="InternetLink"/>
            <w:rFonts w:ascii="Open Sans;sans-serif" w:hAnsi="Open Sans;sans-serif"/>
            <w:b w:val="false"/>
            <w:color w:val="0000FF"/>
            <w:sz w:val="18"/>
            <w:u w:val="single"/>
          </w:rPr>
          <w:t>Table of Contents</w:t>
        </w:r>
      </w:hyperlink>
    </w:p>
    <w:p>
      <w:pPr>
        <w:pStyle w:val="TextBody"/>
        <w:bidi w:val="0"/>
        <w:spacing w:before="0" w:after="0"/>
        <w:jc w:val="center"/>
        <w:rPr/>
      </w:pPr>
      <w:r>
        <w:rPr/>
      </w:r>
    </w:p>
    <w:p>
      <w:pPr>
        <w:pStyle w:val="TextBody"/>
        <w:bidi w:val="0"/>
        <w:spacing w:lineRule="auto" w:line="288" w:before="240" w:after="283"/>
        <w:jc w:val="center"/>
        <w:rPr>
          <w:rFonts w:ascii="Open Sans;sans-serif" w:hAnsi="Open Sans;sans-serif"/>
          <w:b/>
          <w:color w:val="000000"/>
          <w:sz w:val="20"/>
        </w:rPr>
      </w:pPr>
      <w:r>
        <w:rPr>
          <w:rFonts w:ascii="Open Sans;sans-serif" w:hAnsi="Open Sans;sans-serif"/>
          <w:b/>
          <w:color w:val="000000"/>
          <w:sz w:val="20"/>
        </w:rPr>
        <w:t>Key Operating Metric and Non-GAAP Financial Measures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We review a number of operating and financial metrics, including the key operating metric set forth below, to help us evaluate our business and growth trends, establish budgets, evaluate the effectiveness of our investments, and assess operational efficiencies. In addition to the results determined in accordance with GAAP, the following table sets forth a key operating metric and non-GAAP financial measures that we consider useful in evaluating our operating performance:</w:t>
      </w:r>
    </w:p>
    <w:tbl>
      <w:tblPr>
        <w:tblW w:w="8284" w:type="dxa"/>
        <w:jc w:val="left"/>
        <w:tblInd w:w="0" w:type="dxa"/>
        <w:tblLayout w:type="fixed"/>
        <w:tblCellMar>
          <w:top w:w="28" w:type="dxa"/>
          <w:left w:w="28" w:type="dxa"/>
          <w:bottom w:w="28" w:type="dxa"/>
          <w:right w:w="28" w:type="dxa"/>
        </w:tblCellMar>
      </w:tblPr>
      <w:tblGrid>
        <w:gridCol w:w="1652"/>
        <w:gridCol w:w="1450"/>
        <w:gridCol w:w="1458"/>
        <w:gridCol w:w="226"/>
        <w:gridCol w:w="946"/>
        <w:gridCol w:w="286"/>
        <w:gridCol w:w="109"/>
        <w:gridCol w:w="109"/>
        <w:gridCol w:w="109"/>
        <w:gridCol w:w="226"/>
        <w:gridCol w:w="946"/>
        <w:gridCol w:w="286"/>
        <w:gridCol w:w="109"/>
        <w:gridCol w:w="109"/>
        <w:gridCol w:w="109"/>
        <w:gridCol w:w="154"/>
      </w:tblGrid>
      <w:tr>
        <w:trPr/>
        <w:tc>
          <w:tcPr>
            <w:tcW w:w="1652" w:type="dxa"/>
            <w:tcBorders/>
            <w:vAlign w:val="center"/>
          </w:tcPr>
          <w:p>
            <w:pPr>
              <w:pStyle w:val="TableContents"/>
              <w:bidi w:val="0"/>
              <w:spacing w:before="0" w:after="283"/>
              <w:jc w:val="left"/>
              <w:rPr>
                <w:sz w:val="4"/>
                <w:szCs w:val="4"/>
              </w:rPr>
            </w:pPr>
            <w:r>
              <w:rPr>
                <w:sz w:val="4"/>
                <w:szCs w:val="4"/>
              </w:rPr>
            </w:r>
          </w:p>
        </w:tc>
        <w:tc>
          <w:tcPr>
            <w:tcW w:w="1450"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i/>
                <w:color w:val="000000"/>
                <w:sz w:val="20"/>
              </w:rPr>
            </w:pPr>
            <w:r>
              <w:rPr>
                <w:rFonts w:ascii="Open Sans;sans-serif" w:hAnsi="Open Sans;sans-serif"/>
                <w:b w:val="false"/>
                <w:i/>
                <w:color w:val="000000"/>
                <w:sz w:val="20"/>
              </w:rPr>
              <w:t>(dollars in thousands unless otherwise noted)</w:t>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Total Processing Volume (TPV) (in millions)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112,360 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84,472 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Net revenue</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165,798 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139,073 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Gross profit</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117,592 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98,679 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Gross margin</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71 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71 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 xml:space="preserve">Net income (loss)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7,834 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(8,260)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Net income (loss) margin</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(6)</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Total operating expenses</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115,498 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117,217 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i/>
                <w:color w:val="000000"/>
                <w:sz w:val="20"/>
              </w:rPr>
            </w:pPr>
            <w:r>
              <w:rPr>
                <w:rFonts w:ascii="Open Sans;sans-serif" w:hAnsi="Open Sans;sans-serif"/>
                <w:b/>
                <w:i/>
                <w:color w:val="000000"/>
                <w:sz w:val="20"/>
              </w:rPr>
              <w:t>Non-GAAP Measures:</w:t>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Adjusted EBITDA</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33,338 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20,081 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Adjusted EBITDA margin</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20 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14 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Adjusted operating expenses</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84,254 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78,598 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pPr>
      <w:r>
        <w:rPr>
          <w:rFonts w:ascii="Open Sans;sans-serif" w:hAnsi="Open Sans;sans-serif"/>
          <w:b/>
          <w:i/>
          <w:color w:val="000000"/>
          <w:sz w:val="20"/>
        </w:rPr>
        <w:t>Total Processing Volume (“TPV”)</w:t>
      </w:r>
      <w:r>
        <w:rPr>
          <w:color w:val="000000"/>
        </w:rPr>
        <w:t xml:space="preserve"> </w:t>
      </w:r>
      <w:r>
        <w:rPr>
          <w:rFonts w:ascii="Open Sans;sans-serif" w:hAnsi="Open Sans;sans-serif"/>
          <w:b/>
          <w:color w:val="000000"/>
          <w:sz w:val="20"/>
        </w:rPr>
        <w:t xml:space="preserve">- </w:t>
      </w:r>
      <w:r>
        <w:rPr>
          <w:rFonts w:ascii="Open Sans;sans-serif" w:hAnsi="Open Sans;sans-serif"/>
          <w:b w:val="false"/>
          <w:color w:val="000000"/>
          <w:sz w:val="20"/>
        </w:rPr>
        <w:t>TPV represents the total dollar amount of payments processed through our platform, net of returns and chargebacks. We believe that TPV is a key operating metric and a principal indicator of the market adoption of our platform, growth of our brand, growth of our customers' businesses and scale of our business.</w:t>
      </w:r>
    </w:p>
    <w:p>
      <w:pPr>
        <w:pStyle w:val="TextBody"/>
        <w:bidi w:val="0"/>
        <w:spacing w:lineRule="auto" w:line="288" w:before="120" w:after="283"/>
        <w:jc w:val="both"/>
        <w:rPr/>
      </w:pPr>
      <w:r>
        <w:rPr>
          <w:rFonts w:ascii="Open Sans;sans-serif" w:hAnsi="Open Sans;sans-serif"/>
          <w:b/>
          <w:i/>
          <w:color w:val="000000"/>
          <w:sz w:val="20"/>
        </w:rPr>
        <w:t>Adjusted EBITDA</w:t>
      </w:r>
      <w:r>
        <w:rPr>
          <w:color w:val="000000"/>
        </w:rPr>
        <w:t xml:space="preserve"> </w:t>
      </w:r>
      <w:r>
        <w:rPr>
          <w:rFonts w:ascii="Open Sans;sans-serif" w:hAnsi="Open Sans;sans-serif"/>
          <w:b/>
          <w:color w:val="000000"/>
          <w:sz w:val="20"/>
        </w:rPr>
        <w:t xml:space="preserve">- </w:t>
      </w:r>
      <w:r>
        <w:rPr>
          <w:rFonts w:ascii="Open Sans;sans-serif" w:hAnsi="Open Sans;sans-serif"/>
          <w:b w:val="false"/>
          <w:color w:val="000000"/>
          <w:sz w:val="20"/>
        </w:rPr>
        <w:t>Adjusted EBITDA is a non-GAAP financial measure that is calculated as Net income (loss) adjusted, as applicable, to exclude depreciation and amortization; share-based compensation expense; payroll tax related to share-based compensation; restructuring and other one-time costs; acquisition related expenses which consist of due diligence costs, transaction costs and integration costs related to potential or successful acquisitions and cash and non-cash postcombination compensation expenses; non-recurring litigation expense; income tax expense (benefit); and other income, net, which consists primarily of interest income from our short-term investments and cash deposits, impairment of financial instruments and realized foreign currency gains and losses. We believe that Adjusted EBITDA is an important measure of operating performance because it allows management and our Board of Directors to evaluate and compare our core operating results, including our operating efficiencies, from period to period. Additionally, we utilize Adjusted EBITDA as an input into our calculation of our annual employee bonus plans and performance-based restricted stock units. See the section below titled “Use of Non-GAAP Financial Measures” for a discussion of the use of non-GAAP measures, a change in presentation, and a reconciliation of Net income (loss) to Adjusted EBITDA.</w:t>
      </w:r>
    </w:p>
    <w:p>
      <w:pPr>
        <w:pStyle w:val="TextBody"/>
        <w:bidi w:val="0"/>
        <w:spacing w:lineRule="auto" w:line="288" w:before="120" w:after="283"/>
        <w:jc w:val="both"/>
        <w:rPr/>
      </w:pPr>
      <w:r>
        <w:rPr>
          <w:rFonts w:ascii="Open Sans;sans-serif" w:hAnsi="Open Sans;sans-serif"/>
          <w:b/>
          <w:i/>
          <w:color w:val="000000"/>
          <w:sz w:val="20"/>
        </w:rPr>
        <w:t>Adjusted EBITDA Margi</w:t>
      </w:r>
      <w:r>
        <w:rPr>
          <w:rFonts w:ascii="Open Sans;sans-serif" w:hAnsi="Open Sans;sans-serif"/>
          <w:b/>
          <w:color w:val="000000"/>
          <w:sz w:val="20"/>
        </w:rPr>
        <w:t xml:space="preserve">n - </w:t>
      </w:r>
      <w:r>
        <w:rPr>
          <w:rFonts w:ascii="Open Sans;sans-serif" w:hAnsi="Open Sans;sans-serif"/>
          <w:b w:val="false"/>
          <w:color w:val="000000"/>
          <w:sz w:val="20"/>
        </w:rPr>
        <w:t>Adjusted EBITDA Margin is a non-GAAP financial measure that is calculated as Adjusted EBITDA divided by Net revenue. This measure is used by management and our Board of Directors to evaluate our operating efficiency. See the section below titled “Use of Non-GAAP Financial Measures” for a discussion of the use of non-GAAP measures and a reconciliation of Net income (loss) to Adjusted EBITDA Margin.</w:t>
      </w:r>
    </w:p>
    <w:p>
      <w:pPr>
        <w:pStyle w:val="TextBody"/>
        <w:bidi w:val="0"/>
        <w:spacing w:lineRule="auto" w:line="288" w:before="120" w:after="283"/>
        <w:jc w:val="both"/>
        <w:rPr/>
      </w:pPr>
      <w:r>
        <w:rPr>
          <w:rFonts w:ascii="Open Sans;sans-serif" w:hAnsi="Open Sans;sans-serif"/>
          <w:b/>
          <w:i/>
          <w:color w:val="000000"/>
          <w:sz w:val="20"/>
        </w:rPr>
        <w:t>Adjusted Operating Expenses</w:t>
      </w:r>
      <w:r>
        <w:rPr>
          <w:color w:val="000000"/>
        </w:rPr>
        <w:t xml:space="preserve"> </w:t>
      </w:r>
      <w:r>
        <w:rPr>
          <w:rFonts w:ascii="Open Sans;sans-serif" w:hAnsi="Open Sans;sans-serif"/>
          <w:b/>
          <w:color w:val="000000"/>
          <w:sz w:val="20"/>
        </w:rPr>
        <w:t xml:space="preserve">- </w:t>
      </w:r>
      <w:r>
        <w:rPr>
          <w:rFonts w:ascii="Open Sans;sans-serif" w:hAnsi="Open Sans;sans-serif"/>
          <w:b w:val="false"/>
          <w:color w:val="000000"/>
          <w:sz w:val="20"/>
        </w:rPr>
        <w:t xml:space="preserve">Adjusted operating expenses is a non-GAAP financial measure that is calculated as Total operating expenses adjusted, as applicable, to exclude depreciation and amortization; share-based compensation expense; payroll tax related to share-based compensation; restructuring and other one-time costs; non-recurring litigation expense; and acquisition-related expenses which consists of due diligence costs, transaction cost and integration costs related to potential or successful acquisitions, and cash and non-cash postcombination compensation expenses. We believe that adjusted operating expenses is an important measure of operating performance because it allows management and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7955"/>
                <wp:effectExtent l="0" t="0" r="0" b="0"/>
                <wp:wrapNone/>
                <wp:docPr id="26" name="Frame26"/>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26</w:t>
                      </w:r>
                    </w:p>
                  </w:txbxContent>
                </v:textbox>
                <w10:wrap type="none"/>
              </v:rect>
            </w:pict>
          </mc:Fallback>
        </mc:AlternateContent>
      </w:r>
    </w:p>
    <w:p>
      <w:pPr>
        <w:pStyle w:val="TextBody"/>
        <w:bidi w:val="0"/>
        <w:spacing w:lineRule="auto" w:line="288" w:before="0" w:after="60"/>
        <w:jc w:val="left"/>
        <w:rPr/>
      </w:pPr>
      <w:hyperlink w:anchor="i86ce94018fb640d7903f0edbc68bd8af_7">
        <w:r>
          <w:rPr>
            <w:rStyle w:val="InternetLink"/>
            <w:rFonts w:ascii="Open Sans;sans-serif" w:hAnsi="Open Sans;sans-serif"/>
            <w:b w:val="false"/>
            <w:color w:val="0000FF"/>
            <w:sz w:val="18"/>
            <w:u w:val="single"/>
          </w:rPr>
          <w:t>Table of Contents</w:t>
        </w:r>
      </w:hyperlink>
    </w:p>
    <w:p>
      <w:pPr>
        <w:pStyle w:val="TextBody"/>
        <w:bidi w:val="0"/>
        <w:spacing w:before="0" w:after="0"/>
        <w:jc w:val="center"/>
        <w:rPr/>
      </w:pPr>
      <w:r>
        <w:rPr/>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Board of Directors to evaluate and compare our core operating results, including our operating efficiencies, from period to period. See the section below titled “Use of Non-GAAP Financial Measures” for a discussion of the use of non-GAAP measures, a change in presentation, and a reconciliation of total operating expenses to adjusted operating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Open Sans;sans-serif" w:hAnsi="Open Sans;sans-serif"/>
          <w:b/>
          <w:color w:val="000000"/>
          <w:sz w:val="20"/>
        </w:rPr>
      </w:pPr>
      <w:r>
        <w:rPr>
          <w:rFonts w:ascii="Open Sans;sans-serif" w:hAnsi="Open Sans;sans-serif"/>
          <w:b/>
          <w:color w:val="000000"/>
          <w:sz w:val="20"/>
        </w:rPr>
        <w:t>Components of Results of Operations</w:t>
      </w:r>
    </w:p>
    <w:p>
      <w:pPr>
        <w:pStyle w:val="TextBody"/>
        <w:bidi w:val="0"/>
        <w:spacing w:lineRule="auto" w:line="288" w:before="240" w:after="283"/>
        <w:jc w:val="both"/>
        <w:rPr>
          <w:rFonts w:ascii="Open Sans;sans-serif" w:hAnsi="Open Sans;sans-serif"/>
          <w:b/>
          <w:i/>
          <w:color w:val="000000"/>
          <w:sz w:val="20"/>
        </w:rPr>
      </w:pPr>
      <w:r>
        <w:rPr>
          <w:rFonts w:ascii="Open Sans;sans-serif" w:hAnsi="Open Sans;sans-serif"/>
          <w:b/>
          <w:i/>
          <w:color w:val="000000"/>
          <w:sz w:val="20"/>
        </w:rPr>
        <w:t>Net Revenue</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We have two components of net revenue: platform services revenue, net and other services revenue.</w:t>
      </w:r>
    </w:p>
    <w:p>
      <w:pPr>
        <w:pStyle w:val="TextBody"/>
        <w:bidi w:val="0"/>
        <w:spacing w:lineRule="auto" w:line="288" w:before="120" w:after="283"/>
        <w:jc w:val="both"/>
        <w:rPr/>
      </w:pPr>
      <w:r>
        <w:rPr>
          <w:rFonts w:ascii="Open Sans;sans-serif" w:hAnsi="Open Sans;sans-serif"/>
          <w:b w:val="false"/>
          <w:i/>
          <w:color w:val="000000"/>
          <w:sz w:val="20"/>
        </w:rPr>
        <w:t>Platform services revenue, net</w:t>
      </w:r>
      <w:r>
        <w:rPr>
          <w:rFonts w:ascii="Open Sans;sans-serif" w:hAnsi="Open Sans;sans-serif"/>
          <w:b w:val="false"/>
          <w:color w:val="000000"/>
          <w:sz w:val="20"/>
        </w:rPr>
        <w:t>.</w:t>
      </w:r>
      <w:r>
        <w:rPr>
          <w:color w:val="000000"/>
        </w:rPr>
        <w:t xml:space="preserve"> </w:t>
      </w:r>
      <w:r>
        <w:rPr>
          <w:rFonts w:ascii="Open Sans;sans-serif" w:hAnsi="Open Sans;sans-serif"/>
          <w:b w:val="false"/>
          <w:color w:val="000000"/>
          <w:sz w:val="20"/>
        </w:rPr>
        <w:t>Platform services revenue includes Interchange Fees, net of Revenue Share and other service-level payments to customers, and Card Network and Issuing Bank costs for certain customer arrangements where the Company is an agent in the delivery of services to the customer. Platform services revenue also includes processing and other fees, including value added services. “Interchange Fees” are transaction-based and volume-based fees set by a Card Network and paid by a merchant bank to the Issuing Bank that issued the payment card used to purchase goods or services from a merchant. We earn Interchange Fees on card transactions we process for our customers and the fees are based on a percentage of the transaction amount plus a fixed amount per transaction. Interchange Fees are recognized when the associated transactions are settled.</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Revenue Share payments are incentives to our customers to increase their processing volumes on our platform. Revenue Share is generally computed as a percentage of the Interchange Fees earned or processing volume and is paid to our customers monthly. Revenue Share payments are recorded as a reduction to net revenue. Generally, as customers' processing volumes increase, the rates at which we share revenue increase.</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Processing and other fees are priced as either a percentage of processing volume or on a fee per transaction basis and are earned, for example, when payment cards are used at automated teller machines or to make cross-border purchases. Minimum processing fees, where customers' processing volumes fall below certain thresholds, as well as transaction fees for utilizing other value-added services and program management features, are also included in processing and other fees.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 xml:space="preserve">We recognize revenue when the promised services are complete, and our performance obligations are satisfied. Platform services are considered complete when we have authorized the transaction, validated that the transaction has no errors, and accepted and posted the data to our records. </w:t>
      </w:r>
    </w:p>
    <w:p>
      <w:pPr>
        <w:pStyle w:val="TextBody"/>
        <w:bidi w:val="0"/>
        <w:spacing w:lineRule="auto" w:line="288" w:before="120" w:after="283"/>
        <w:jc w:val="both"/>
        <w:rPr/>
      </w:pPr>
      <w:r>
        <w:rPr>
          <w:rFonts w:ascii="Open Sans;sans-serif" w:hAnsi="Open Sans;sans-serif"/>
          <w:b w:val="false"/>
          <w:i/>
          <w:color w:val="000000"/>
          <w:sz w:val="20"/>
        </w:rPr>
        <w:t>Other services revenue.</w:t>
      </w:r>
      <w:r>
        <w:rPr>
          <w:color w:val="000000"/>
        </w:rPr>
        <w:t xml:space="preserve"> </w:t>
      </w:r>
      <w:r>
        <w:rPr>
          <w:rFonts w:ascii="Open Sans;sans-serif" w:hAnsi="Open Sans;sans-serif"/>
          <w:b w:val="false"/>
          <w:color w:val="000000"/>
          <w:sz w:val="20"/>
        </w:rPr>
        <w:t xml:space="preserve">Other services revenue primarily consists of revenue earned for card fulfillment services. Card fulfillment fees are generally billed to customers upon ordering card inventory and recognized as revenue when the cards are shipped to the customers. </w:t>
      </w:r>
    </w:p>
    <w:p>
      <w:pPr>
        <w:pStyle w:val="TextBody"/>
        <w:bidi w:val="0"/>
        <w:spacing w:lineRule="auto" w:line="288" w:before="120" w:after="283"/>
        <w:jc w:val="both"/>
        <w:rPr>
          <w:rFonts w:ascii="Open Sans;sans-serif" w:hAnsi="Open Sans;sans-serif"/>
          <w:b/>
          <w:i/>
          <w:color w:val="000000"/>
          <w:sz w:val="20"/>
        </w:rPr>
      </w:pPr>
      <w:r>
        <w:rPr>
          <w:rFonts w:ascii="Open Sans;sans-serif" w:hAnsi="Open Sans;sans-serif"/>
          <w:b/>
          <w:i/>
          <w:color w:val="000000"/>
          <w:sz w:val="20"/>
        </w:rPr>
        <w:t>Costs of Revenue</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Costs of revenue consist of Card Network fees, Issuing Bank fees, and card fulfillment costs for customer arrangements where we are the principal in providing services to the customer and excludes depreciation and amortization, which is reported separately within the Condensed Consolidated Statements of Operations and Comprehensive Income (Loss). Card Network fees are equal to a specified percentage of processing volume or a fixed amount per transaction routed through the respective Card Network. Issuing Bank fees compensate our Issuing Banks for issuing cards to our customers and sponsoring our card programs with the Card Networks and are typically equal to a specified percentage of processing volume or a fixed amount per transaction. Card fulfillment costs include physical cards, packaging, and other fulfillment costs.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 xml:space="preserve">We have marketing and incentive arrangements with Card Networks, that provide us with monetary incentives for establishing customer card programs with and routing transaction volume through the respective Card Networks. These incentives are typically calculated as a percentage of the processed transaction volume or the number of transactions routed through the Card Network. We account for these incentives as a reduction of Card Network fees within Costs of Revenue in customer arrangements where we act as the principal. As processing volumes increase, we earn a higher cumulative incentive rate,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7955"/>
                <wp:effectExtent l="0" t="0" r="0" b="0"/>
                <wp:wrapNone/>
                <wp:docPr id="27" name="Frame27"/>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27</w:t>
                      </w:r>
                    </w:p>
                  </w:txbxContent>
                </v:textbox>
                <w10:wrap type="none"/>
              </v:rect>
            </w:pict>
          </mc:Fallback>
        </mc:AlternateContent>
      </w:r>
    </w:p>
    <w:p>
      <w:pPr>
        <w:pStyle w:val="TextBody"/>
        <w:bidi w:val="0"/>
        <w:spacing w:lineRule="auto" w:line="288" w:before="0" w:after="60"/>
        <w:jc w:val="left"/>
        <w:rPr/>
      </w:pPr>
      <w:hyperlink w:anchor="i86ce94018fb640d7903f0edbc68bd8af_7">
        <w:r>
          <w:rPr>
            <w:rStyle w:val="InternetLink"/>
            <w:rFonts w:ascii="Open Sans;sans-serif" w:hAnsi="Open Sans;sans-serif"/>
            <w:b w:val="false"/>
            <w:color w:val="0000FF"/>
            <w:sz w:val="18"/>
            <w:u w:val="single"/>
          </w:rPr>
          <w:t>Table of Contents</w:t>
        </w:r>
      </w:hyperlink>
    </w:p>
    <w:p>
      <w:pPr>
        <w:pStyle w:val="TextBody"/>
        <w:bidi w:val="0"/>
        <w:spacing w:before="0" w:after="0"/>
        <w:jc w:val="center"/>
        <w:rPr/>
      </w:pPr>
      <w:r>
        <w:rPr/>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 xml:space="preserve">subject to achieving specific cumulative volume thresholds within an annual measurement period. For certain incentive arrangements, the annual measurement period may not align with our fiscal year. </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 xml:space="preserve">We estimate and recognize network incentives based on the cumulative incentive rate we expect to earn over the annual measurement period. We estimate the cumulative incentive rates based on our forecasts for the annual measurement periods, which incorporates both historical experience and our expectations of future events, in addition to other qualitative considerations. The estimated cumulative incentive rates are applied to the volume and/or number of transactions processed during the reporting period to calculate the quarterly network incentives recognized. </w:t>
      </w:r>
    </w:p>
    <w:p>
      <w:pPr>
        <w:pStyle w:val="TextBody"/>
        <w:bidi w:val="0"/>
        <w:spacing w:lineRule="auto" w:line="288" w:before="240" w:after="283"/>
        <w:jc w:val="both"/>
        <w:rPr>
          <w:rFonts w:ascii="Open Sans;sans-serif" w:hAnsi="Open Sans;sans-serif"/>
          <w:b/>
          <w:i/>
          <w:color w:val="000000"/>
          <w:sz w:val="20"/>
        </w:rPr>
      </w:pPr>
      <w:r>
        <w:rPr>
          <w:rFonts w:ascii="Open Sans;sans-serif" w:hAnsi="Open Sans;sans-serif"/>
          <w:b/>
          <w:i/>
          <w:color w:val="000000"/>
          <w:sz w:val="20"/>
        </w:rPr>
        <w:t>Operating Expenses</w:t>
      </w:r>
    </w:p>
    <w:p>
      <w:pPr>
        <w:pStyle w:val="TextBody"/>
        <w:bidi w:val="0"/>
        <w:spacing w:lineRule="auto" w:line="288" w:before="120" w:after="283"/>
        <w:jc w:val="both"/>
        <w:rPr/>
      </w:pPr>
      <w:r>
        <w:rPr>
          <w:rFonts w:ascii="Open Sans;sans-serif" w:hAnsi="Open Sans;sans-serif"/>
          <w:b w:val="false"/>
          <w:i/>
          <w:color w:val="000000"/>
          <w:sz w:val="20"/>
        </w:rPr>
        <w:t xml:space="preserve">Compensation and Benefits. </w:t>
      </w:r>
      <w:r>
        <w:rPr>
          <w:rFonts w:ascii="Open Sans;sans-serif" w:hAnsi="Open Sans;sans-serif"/>
          <w:b w:val="false"/>
          <w:color w:val="000000"/>
          <w:sz w:val="20"/>
        </w:rPr>
        <w:t>Compensation and benefits consist primarily of salaries, employee benefits, severance and other termination benefits, incentive compensation, contractors’ cost, and share-based compensation.</w:t>
      </w:r>
    </w:p>
    <w:p>
      <w:pPr>
        <w:pStyle w:val="TextBody"/>
        <w:bidi w:val="0"/>
        <w:spacing w:lineRule="auto" w:line="288" w:before="120" w:after="283"/>
        <w:jc w:val="both"/>
        <w:rPr/>
      </w:pPr>
      <w:r>
        <w:rPr>
          <w:rFonts w:ascii="Open Sans;sans-serif" w:hAnsi="Open Sans;sans-serif"/>
          <w:b w:val="false"/>
          <w:i/>
          <w:color w:val="000000"/>
          <w:sz w:val="20"/>
        </w:rPr>
        <w:t xml:space="preserve">Technology. </w:t>
      </w:r>
      <w:r>
        <w:rPr>
          <w:rFonts w:ascii="Open Sans;sans-serif" w:hAnsi="Open Sans;sans-serif"/>
          <w:b w:val="false"/>
          <w:color w:val="000000"/>
          <w:sz w:val="20"/>
        </w:rPr>
        <w:t>Technology</w:t>
      </w:r>
      <w:r>
        <w:rPr>
          <w:color w:val="000000"/>
        </w:rPr>
        <w:t xml:space="preserve"> </w:t>
      </w:r>
      <w:r>
        <w:rPr>
          <w:rFonts w:ascii="Open Sans;sans-serif" w:hAnsi="Open Sans;sans-serif"/>
          <w:b w:val="false"/>
          <w:color w:val="000000"/>
          <w:sz w:val="20"/>
        </w:rPr>
        <w:t>consists primarily of third-party hosting fees, software licenses, and hardware purchases below our capitalization threshold, and support and maintenance costs.</w:t>
      </w:r>
    </w:p>
    <w:p>
      <w:pPr>
        <w:pStyle w:val="TextBody"/>
        <w:bidi w:val="0"/>
        <w:spacing w:lineRule="auto" w:line="288" w:before="120" w:after="283"/>
        <w:jc w:val="both"/>
        <w:rPr/>
      </w:pPr>
      <w:r>
        <w:rPr>
          <w:rFonts w:ascii="Open Sans;sans-serif" w:hAnsi="Open Sans;sans-serif"/>
          <w:b w:val="false"/>
          <w:i/>
          <w:color w:val="000000"/>
          <w:sz w:val="20"/>
        </w:rPr>
        <w:t xml:space="preserve">Professional Services. </w:t>
      </w:r>
      <w:r>
        <w:rPr>
          <w:rFonts w:ascii="Open Sans;sans-serif" w:hAnsi="Open Sans;sans-serif"/>
          <w:b w:val="false"/>
          <w:color w:val="000000"/>
          <w:sz w:val="20"/>
        </w:rPr>
        <w:t>Professional services consist primarily of consulting, legal, audit, and recruiting fees.</w:t>
      </w:r>
    </w:p>
    <w:p>
      <w:pPr>
        <w:pStyle w:val="TextBody"/>
        <w:bidi w:val="0"/>
        <w:spacing w:lineRule="auto" w:line="288" w:before="120" w:after="283"/>
        <w:jc w:val="both"/>
        <w:rPr/>
      </w:pPr>
      <w:r>
        <w:rPr>
          <w:rFonts w:ascii="Open Sans;sans-serif" w:hAnsi="Open Sans;sans-serif"/>
          <w:b w:val="false"/>
          <w:i/>
          <w:color w:val="000000"/>
          <w:sz w:val="20"/>
        </w:rPr>
        <w:t xml:space="preserve">Occupancy. </w:t>
      </w:r>
      <w:r>
        <w:rPr>
          <w:rFonts w:ascii="Open Sans;sans-serif" w:hAnsi="Open Sans;sans-serif"/>
          <w:b w:val="false"/>
          <w:color w:val="000000"/>
          <w:sz w:val="20"/>
        </w:rPr>
        <w:t>Occupancy</w:t>
      </w:r>
      <w:r>
        <w:rPr>
          <w:color w:val="000000"/>
        </w:rPr>
        <w:t xml:space="preserve"> </w:t>
      </w:r>
      <w:r>
        <w:rPr>
          <w:rFonts w:ascii="Open Sans;sans-serif" w:hAnsi="Open Sans;sans-serif"/>
          <w:b w:val="false"/>
          <w:color w:val="000000"/>
          <w:sz w:val="20"/>
        </w:rPr>
        <w:t>consists primarily of rent expense, repairs, maintenance, and other building related costs.</w:t>
      </w:r>
    </w:p>
    <w:p>
      <w:pPr>
        <w:pStyle w:val="TextBody"/>
        <w:bidi w:val="0"/>
        <w:spacing w:lineRule="auto" w:line="288" w:before="120" w:after="283"/>
        <w:jc w:val="both"/>
        <w:rPr/>
      </w:pPr>
      <w:r>
        <w:rPr>
          <w:rFonts w:ascii="Open Sans;sans-serif" w:hAnsi="Open Sans;sans-serif"/>
          <w:b w:val="false"/>
          <w:i/>
          <w:color w:val="000000"/>
          <w:sz w:val="20"/>
        </w:rPr>
        <w:t xml:space="preserve">Depreciation and Amortization. </w:t>
      </w:r>
      <w:r>
        <w:rPr>
          <w:rFonts w:ascii="Open Sans;sans-serif" w:hAnsi="Open Sans;sans-serif"/>
          <w:b w:val="false"/>
          <w:color w:val="000000"/>
          <w:sz w:val="20"/>
        </w:rPr>
        <w:t>Depreciation and amortization</w:t>
      </w:r>
      <w:r>
        <w:rPr>
          <w:color w:val="000000"/>
        </w:rPr>
        <w:t xml:space="preserve"> </w:t>
      </w:r>
      <w:r>
        <w:rPr>
          <w:rFonts w:ascii="Open Sans;sans-serif" w:hAnsi="Open Sans;sans-serif"/>
          <w:b w:val="false"/>
          <w:color w:val="000000"/>
          <w:sz w:val="20"/>
        </w:rPr>
        <w:t>consist primarily of depreciation of our fixed assets and amortization of capitalized internal-use software and developed technology intangible assets.</w:t>
      </w:r>
    </w:p>
    <w:p>
      <w:pPr>
        <w:pStyle w:val="TextBody"/>
        <w:bidi w:val="0"/>
        <w:spacing w:lineRule="auto" w:line="288" w:before="120" w:after="283"/>
        <w:jc w:val="both"/>
        <w:rPr/>
      </w:pPr>
      <w:r>
        <w:rPr>
          <w:rFonts w:ascii="Open Sans;sans-serif" w:hAnsi="Open Sans;sans-serif"/>
          <w:b w:val="false"/>
          <w:i/>
          <w:color w:val="000000"/>
          <w:sz w:val="20"/>
        </w:rPr>
        <w:t xml:space="preserve">Marketing and Advertising. </w:t>
      </w:r>
      <w:r>
        <w:rPr>
          <w:rFonts w:ascii="Open Sans;sans-serif" w:hAnsi="Open Sans;sans-serif"/>
          <w:b w:val="false"/>
          <w:color w:val="000000"/>
          <w:sz w:val="20"/>
        </w:rPr>
        <w:t>Marketing and advertising</w:t>
      </w:r>
      <w:r>
        <w:rPr>
          <w:color w:val="000000"/>
        </w:rPr>
        <w:t xml:space="preserve"> </w:t>
      </w:r>
      <w:r>
        <w:rPr>
          <w:rFonts w:ascii="Open Sans;sans-serif" w:hAnsi="Open Sans;sans-serif"/>
          <w:b w:val="false"/>
          <w:color w:val="000000"/>
          <w:sz w:val="20"/>
        </w:rPr>
        <w:t>consist primarily of costs of general marketing and promotional activities.</w:t>
      </w:r>
      <w:r>
        <w:rPr>
          <w:color w:val="000000"/>
        </w:rPr>
        <w:t xml:space="preserve"> </w:t>
      </w:r>
    </w:p>
    <w:p>
      <w:pPr>
        <w:pStyle w:val="TextBody"/>
        <w:bidi w:val="0"/>
        <w:spacing w:lineRule="auto" w:line="288" w:before="120" w:after="283"/>
        <w:jc w:val="both"/>
        <w:rPr/>
      </w:pPr>
      <w:r>
        <w:rPr>
          <w:rFonts w:ascii="Open Sans;sans-serif" w:hAnsi="Open Sans;sans-serif"/>
          <w:b w:val="false"/>
          <w:i/>
          <w:color w:val="000000"/>
          <w:sz w:val="20"/>
        </w:rPr>
        <w:t xml:space="preserve">Other Operating Expenses. </w:t>
      </w:r>
      <w:r>
        <w:rPr>
          <w:rFonts w:ascii="Open Sans;sans-serif" w:hAnsi="Open Sans;sans-serif"/>
          <w:b w:val="false"/>
          <w:color w:val="000000"/>
          <w:sz w:val="20"/>
        </w:rPr>
        <w:t>Other operating expenses consist primarily of insurance costs, indemnification costs, travel-related expenses, indirect state and local taxes, and other general office expenses.</w:t>
      </w:r>
    </w:p>
    <w:p>
      <w:pPr>
        <w:pStyle w:val="TextBody"/>
        <w:bidi w:val="0"/>
        <w:spacing w:lineRule="auto" w:line="288" w:before="240" w:after="283"/>
        <w:jc w:val="both"/>
        <w:rPr>
          <w:rFonts w:ascii="Open Sans;sans-serif" w:hAnsi="Open Sans;sans-serif"/>
          <w:b/>
          <w:i/>
          <w:color w:val="000000"/>
          <w:sz w:val="20"/>
        </w:rPr>
      </w:pPr>
      <w:r>
        <w:rPr>
          <w:rFonts w:ascii="Open Sans;sans-serif" w:hAnsi="Open Sans;sans-serif"/>
          <w:b/>
          <w:i/>
          <w:color w:val="000000"/>
          <w:sz w:val="20"/>
        </w:rPr>
        <w:t>Other Income, net</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Other income, net consists primarily of interest income from our short-term investments and cash deposits, and realized foreign currency gains and losses.</w:t>
      </w:r>
    </w:p>
    <w:p>
      <w:pPr>
        <w:pStyle w:val="TextBody"/>
        <w:bidi w:val="0"/>
        <w:spacing w:lineRule="auto" w:line="288" w:before="240" w:after="283"/>
        <w:jc w:val="both"/>
        <w:rPr>
          <w:rFonts w:ascii="Open Sans;sans-serif" w:hAnsi="Open Sans;sans-serif"/>
          <w:b/>
          <w:i/>
          <w:color w:val="000000"/>
          <w:sz w:val="20"/>
        </w:rPr>
      </w:pPr>
      <w:r>
        <w:rPr>
          <w:rFonts w:ascii="Open Sans;sans-serif" w:hAnsi="Open Sans;sans-serif"/>
          <w:b/>
          <w:i/>
          <w:color w:val="000000"/>
          <w:sz w:val="20"/>
        </w:rPr>
        <w:t>Income Tax Expense</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Income tax expense consists of U.S. federal and state income taxes, and income taxes related to certain foreign jurisdictions. We maintain a full valuation allowance against our U.S. federal and state net deferred tax assets as we have concluded that it is not more likely than not that we will realize our net deferred tax assets.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7955"/>
                <wp:effectExtent l="0" t="0" r="0" b="0"/>
                <wp:wrapNone/>
                <wp:docPr id="28" name="Frame28"/>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28</w:t>
                      </w:r>
                    </w:p>
                  </w:txbxContent>
                </v:textbox>
                <w10:wrap type="none"/>
              </v:rect>
            </w:pict>
          </mc:Fallback>
        </mc:AlternateContent>
      </w:r>
    </w:p>
    <w:p>
      <w:pPr>
        <w:pStyle w:val="TextBody"/>
        <w:bidi w:val="0"/>
        <w:spacing w:lineRule="auto" w:line="288" w:before="0" w:after="60"/>
        <w:jc w:val="left"/>
        <w:rPr/>
      </w:pPr>
      <w:hyperlink w:anchor="i86ce94018fb640d7903f0edbc68bd8af_7">
        <w:r>
          <w:rPr>
            <w:rStyle w:val="InternetLink"/>
            <w:rFonts w:ascii="Open Sans;sans-serif" w:hAnsi="Open Sans;sans-serif"/>
            <w:b w:val="false"/>
            <w:color w:val="0000FF"/>
            <w:sz w:val="18"/>
            <w:u w:val="single"/>
          </w:rPr>
          <w:t>Table of Contents</w:t>
        </w:r>
      </w:hyperlink>
    </w:p>
    <w:p>
      <w:pPr>
        <w:pStyle w:val="TextBody"/>
        <w:bidi w:val="0"/>
        <w:spacing w:before="0" w:after="0"/>
        <w:jc w:val="center"/>
        <w:rPr/>
      </w:pPr>
      <w:r>
        <w:rPr/>
      </w:r>
    </w:p>
    <w:p>
      <w:pPr>
        <w:pStyle w:val="TextBody"/>
        <w:bidi w:val="0"/>
        <w:spacing w:lineRule="auto" w:line="288" w:before="240" w:after="283"/>
        <w:jc w:val="center"/>
        <w:rPr>
          <w:rFonts w:ascii="Open Sans;sans-serif" w:hAnsi="Open Sans;sans-serif"/>
          <w:b/>
          <w:color w:val="000000"/>
          <w:sz w:val="20"/>
        </w:rPr>
      </w:pPr>
      <w:r>
        <w:rPr>
          <w:rFonts w:ascii="Open Sans;sans-serif" w:hAnsi="Open Sans;sans-serif"/>
          <w:b/>
          <w:color w:val="000000"/>
          <w:sz w:val="20"/>
        </w:rPr>
        <w:t xml:space="preserve">Results of Operations </w:t>
      </w:r>
    </w:p>
    <w:p>
      <w:pPr>
        <w:pStyle w:val="TextBody"/>
        <w:bidi w:val="0"/>
        <w:spacing w:before="0" w:after="0"/>
        <w:jc w:val="left"/>
        <w:rPr/>
      </w:pPr>
      <w:r>
        <w:rPr/>
      </w:r>
    </w:p>
    <w:p>
      <w:pPr>
        <w:pStyle w:val="TextBody"/>
        <w:bidi w:val="0"/>
        <w:spacing w:lineRule="auto" w:line="288" w:before="0" w:after="0"/>
        <w:jc w:val="left"/>
        <w:rPr>
          <w:rFonts w:ascii="Open Sans;sans-serif" w:hAnsi="Open Sans;sans-serif"/>
          <w:b w:val="false"/>
          <w:color w:val="000000"/>
          <w:sz w:val="20"/>
        </w:rPr>
      </w:pPr>
      <w:r>
        <w:rPr>
          <w:rFonts w:ascii="Open Sans;sans-serif" w:hAnsi="Open Sans;sans-serif"/>
          <w:b w:val="false"/>
          <w:color w:val="000000"/>
          <w:sz w:val="20"/>
        </w:rPr>
        <w:t>The following table sets forth our results of operations for the periods presented:</w:t>
      </w:r>
    </w:p>
    <w:tbl>
      <w:tblPr>
        <w:tblW w:w="7866" w:type="dxa"/>
        <w:jc w:val="left"/>
        <w:tblInd w:w="0" w:type="dxa"/>
        <w:tblLayout w:type="fixed"/>
        <w:tblCellMar>
          <w:top w:w="28" w:type="dxa"/>
          <w:left w:w="28" w:type="dxa"/>
          <w:bottom w:w="28" w:type="dxa"/>
          <w:right w:w="28" w:type="dxa"/>
        </w:tblCellMar>
      </w:tblPr>
      <w:tblGrid>
        <w:gridCol w:w="1510"/>
        <w:gridCol w:w="1326"/>
        <w:gridCol w:w="1333"/>
        <w:gridCol w:w="109"/>
        <w:gridCol w:w="109"/>
        <w:gridCol w:w="109"/>
        <w:gridCol w:w="226"/>
        <w:gridCol w:w="946"/>
        <w:gridCol w:w="109"/>
        <w:gridCol w:w="109"/>
        <w:gridCol w:w="109"/>
        <w:gridCol w:w="109"/>
        <w:gridCol w:w="226"/>
        <w:gridCol w:w="946"/>
        <w:gridCol w:w="109"/>
        <w:gridCol w:w="109"/>
        <w:gridCol w:w="109"/>
        <w:gridCol w:w="109"/>
        <w:gridCol w:w="154"/>
      </w:tblGrid>
      <w:tr>
        <w:trPr/>
        <w:tc>
          <w:tcPr>
            <w:tcW w:w="1510"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1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i/>
                <w:color w:val="000000"/>
                <w:sz w:val="16"/>
              </w:rPr>
            </w:pPr>
            <w:r>
              <w:rPr>
                <w:rFonts w:ascii="Open Sans;sans-serif" w:hAnsi="Open Sans;sans-serif"/>
                <w:b w:val="false"/>
                <w:i/>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Net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165,798 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139,073 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Costs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48,206 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40,394 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117,592 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98,679 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Compensation and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78,018 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86,050 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Technology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18,090 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14,811 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8,854 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5,331 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Professional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4,631 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5,695 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Occupancy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917 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Marketing and advertising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Other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3,566 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3,944 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115,498 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117,217 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Income (loss)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2,094 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(18,538)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Other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5,933 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10,513 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Income (loss) before 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8,027 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(8,025)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7,834 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(8,260)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40" w:after="120"/>
        <w:jc w:val="left"/>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7955"/>
                <wp:effectExtent l="0" t="0" r="0" b="0"/>
                <wp:wrapNone/>
                <wp:docPr id="29" name="Frame29"/>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29</w:t>
                      </w:r>
                    </w:p>
                  </w:txbxContent>
                </v:textbox>
                <w10:wrap type="none"/>
              </v:rect>
            </w:pict>
          </mc:Fallback>
        </mc:AlternateContent>
      </w:r>
    </w:p>
    <w:p>
      <w:pPr>
        <w:pStyle w:val="TextBody"/>
        <w:bidi w:val="0"/>
        <w:spacing w:lineRule="auto" w:line="288" w:before="0" w:after="60"/>
        <w:jc w:val="left"/>
        <w:rPr/>
      </w:pPr>
      <w:hyperlink w:anchor="i86ce94018fb640d7903f0edbc68bd8af_7">
        <w:r>
          <w:rPr>
            <w:rStyle w:val="InternetLink"/>
            <w:rFonts w:ascii="Open Sans;sans-serif" w:hAnsi="Open Sans;sans-serif"/>
            <w:b w:val="false"/>
            <w:color w:val="0000FF"/>
            <w:sz w:val="18"/>
            <w:u w:val="single"/>
          </w:rPr>
          <w:t>Table of Contents</w:t>
        </w:r>
      </w:hyperlink>
    </w:p>
    <w:p>
      <w:pPr>
        <w:pStyle w:val="TextBody"/>
        <w:bidi w:val="0"/>
        <w:spacing w:before="0" w:after="0"/>
        <w:jc w:val="center"/>
        <w:rPr/>
      </w:pPr>
      <w:r>
        <w:rPr/>
      </w:r>
    </w:p>
    <w:p>
      <w:pPr>
        <w:pStyle w:val="TextBody"/>
        <w:bidi w:val="0"/>
        <w:spacing w:lineRule="auto" w:line="288" w:before="240" w:after="283"/>
        <w:jc w:val="center"/>
        <w:rPr>
          <w:rFonts w:ascii="Open Sans;sans-serif" w:hAnsi="Open Sans;sans-serif"/>
          <w:b/>
          <w:color w:val="000000"/>
          <w:sz w:val="20"/>
        </w:rPr>
      </w:pPr>
      <w:r>
        <w:rPr>
          <w:rFonts w:ascii="Open Sans;sans-serif" w:hAnsi="Open Sans;sans-serif"/>
          <w:b/>
          <w:color w:val="000000"/>
          <w:sz w:val="20"/>
        </w:rPr>
        <w:t>Comparison of the Three Months Ended March 31, 2026 and 2025</w:t>
      </w:r>
    </w:p>
    <w:p>
      <w:pPr>
        <w:pStyle w:val="TextBody"/>
        <w:bidi w:val="0"/>
        <w:spacing w:lineRule="auto" w:line="288" w:before="240" w:after="120"/>
        <w:jc w:val="both"/>
        <w:rPr>
          <w:rFonts w:ascii="Open Sans;sans-serif" w:hAnsi="Open Sans;sans-serif"/>
          <w:b/>
          <w:i/>
          <w:color w:val="000000"/>
          <w:sz w:val="20"/>
        </w:rPr>
      </w:pPr>
      <w:r>
        <w:rPr>
          <w:rFonts w:ascii="Open Sans;sans-serif" w:hAnsi="Open Sans;sans-serif"/>
          <w:b/>
          <w:i/>
          <w:color w:val="000000"/>
          <w:sz w:val="20"/>
        </w:rPr>
        <w:t>Net Revenue</w:t>
      </w:r>
    </w:p>
    <w:tbl>
      <w:tblPr>
        <w:tblW w:w="10205" w:type="dxa"/>
        <w:jc w:val="left"/>
        <w:tblInd w:w="0" w:type="dxa"/>
        <w:tblLayout w:type="fixed"/>
        <w:tblCellMar>
          <w:top w:w="28" w:type="dxa"/>
          <w:left w:w="28" w:type="dxa"/>
          <w:bottom w:w="28" w:type="dxa"/>
          <w:right w:w="28" w:type="dxa"/>
        </w:tblCellMar>
      </w:tblPr>
      <w:tblGrid>
        <w:gridCol w:w="1366"/>
        <w:gridCol w:w="1166"/>
        <w:gridCol w:w="1175"/>
        <w:gridCol w:w="109"/>
        <w:gridCol w:w="109"/>
        <w:gridCol w:w="109"/>
        <w:gridCol w:w="466"/>
        <w:gridCol w:w="443"/>
        <w:gridCol w:w="443"/>
        <w:gridCol w:w="217"/>
        <w:gridCol w:w="217"/>
        <w:gridCol w:w="217"/>
        <w:gridCol w:w="466"/>
        <w:gridCol w:w="443"/>
        <w:gridCol w:w="443"/>
        <w:gridCol w:w="109"/>
        <w:gridCol w:w="109"/>
        <w:gridCol w:w="109"/>
        <w:gridCol w:w="226"/>
        <w:gridCol w:w="826"/>
        <w:gridCol w:w="109"/>
        <w:gridCol w:w="109"/>
        <w:gridCol w:w="109"/>
        <w:gridCol w:w="109"/>
        <w:gridCol w:w="203"/>
        <w:gridCol w:w="203"/>
        <w:gridCol w:w="595"/>
      </w:tblGrid>
      <w:tr>
        <w:trPr/>
        <w:tc>
          <w:tcPr>
            <w:tcW w:w="1366"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r>
      <w:tr>
        <w:trPr/>
        <w:tc>
          <w:tcPr>
            <w:tcW w:w="3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i/>
                <w:color w:val="000000"/>
                <w:sz w:val="16"/>
              </w:rPr>
            </w:pPr>
            <w:r>
              <w:rPr>
                <w:rFonts w:ascii="Open Sans;sans-serif" w:hAnsi="Open Sans;sans-serif"/>
                <w:b w:val="false"/>
                <w:i/>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2026</w:t>
            </w:r>
          </w:p>
        </w:tc>
        <w:tc>
          <w:tcPr>
            <w:tcW w:w="6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 Change</w:t>
            </w:r>
          </w:p>
        </w:tc>
      </w:tr>
      <w:tr>
        <w:trPr/>
        <w:tc>
          <w:tcPr>
            <w:tcW w:w="370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20"/>
              </w:rPr>
            </w:pPr>
            <w:r>
              <w:rPr>
                <w:rFonts w:ascii="Open Sans;sans-serif" w:hAnsi="Open Sans;sans-serif"/>
                <w:b/>
                <w:color w:val="000000"/>
                <w:sz w:val="20"/>
              </w:rPr>
              <w:t>Net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r>
      <w:tr>
        <w:trPr/>
        <w:tc>
          <w:tcPr>
            <w:tcW w:w="3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r>
      <w:tr>
        <w:trPr/>
        <w:tc>
          <w:tcPr>
            <w:tcW w:w="3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Total platform services,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156,225</w:t>
            </w:r>
          </w:p>
        </w:tc>
        <w:tc>
          <w:tcPr>
            <w:tcW w:w="6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131,867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24,358 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18 </w:t>
            </w:r>
          </w:p>
        </w:tc>
        <w:tc>
          <w:tcPr>
            <w:tcW w:w="5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r>
      <w:tr>
        <w:trPr/>
        <w:tc>
          <w:tcPr>
            <w:tcW w:w="37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Other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9,573</w:t>
            </w:r>
          </w:p>
        </w:tc>
        <w:tc>
          <w:tcPr>
            <w:tcW w:w="6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7,206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2,367 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33 </w:t>
            </w:r>
          </w:p>
        </w:tc>
        <w:tc>
          <w:tcPr>
            <w:tcW w:w="5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r>
      <w:tr>
        <w:trPr/>
        <w:tc>
          <w:tcPr>
            <w:tcW w:w="3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Total net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165,798</w:t>
            </w:r>
          </w:p>
        </w:tc>
        <w:tc>
          <w:tcPr>
            <w:tcW w:w="6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139,073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26,725 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19 </w:t>
            </w:r>
          </w:p>
        </w:tc>
        <w:tc>
          <w:tcPr>
            <w:tcW w:w="5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r>
      <w:tr>
        <w:trPr/>
        <w:tc>
          <w:tcPr>
            <w:tcW w:w="37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Total Processing Volume (TPV) (in millions)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112,360</w:t>
            </w:r>
          </w:p>
        </w:tc>
        <w:tc>
          <w:tcPr>
            <w:tcW w:w="6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84,472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27,888 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33 </w:t>
            </w:r>
          </w:p>
        </w:tc>
        <w:tc>
          <w:tcPr>
            <w:tcW w:w="5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r>
    </w:tbl>
    <w:p>
      <w:pPr>
        <w:pStyle w:val="TextBody"/>
        <w:bidi w:val="0"/>
        <w:spacing w:lineRule="auto" w:line="288" w:before="120" w:after="283"/>
        <w:jc w:val="both"/>
        <w:rPr/>
      </w:pPr>
      <w:r>
        <w:rPr>
          <w:rFonts w:ascii="Open Sans;sans-serif" w:hAnsi="Open Sans;sans-serif"/>
          <w:b w:val="false"/>
          <w:color w:val="000000"/>
          <w:sz w:val="20"/>
        </w:rPr>
        <w:t>Total platform services, net revenue increased by $24.4 million, or 18%, for the three months ended March 31, 2026, compared to the same period in 2025. The overall increase</w:t>
      </w:r>
      <w:r>
        <w:rPr>
          <w:color w:val="000000"/>
        </w:rPr>
        <w:t xml:space="preserve"> </w:t>
      </w:r>
      <w:r>
        <w:rPr>
          <w:rFonts w:ascii="Open Sans;sans-serif" w:hAnsi="Open Sans;sans-serif"/>
          <w:b w:val="false"/>
          <w:color w:val="000000"/>
          <w:sz w:val="20"/>
        </w:rPr>
        <w:t>in platform services revenue was primarily driven by a 33% increase in TPV, partially offset by unfavorable shifts in our card program mix, particularly the expansion of programs where we provide processing services with minimal or no program management.</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Other services revenue increased by $2.4 million, or 33%, for the three months ended March 31, 2026, compared to the same period in 2025, primarily driven by professional services rendered for a certain network integration project that was completed in the first quarter of 2026.</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The increase in TPV was driven by strong performance across all our major use cases, particularly financial services, lending including buy-now-pay later, and expense management. TPV for our top five customers, based on their individual processing volumes in each respective period, increased 25%, in the three months ended March 31, 2026, compared to the same period in 2025. while TPV from all other customers, as a group, grew 58%, over the same period. Note that the composition of the top five customers may differ between the two periods.</w:t>
      </w:r>
    </w:p>
    <w:p>
      <w:pPr>
        <w:pStyle w:val="TextBody"/>
        <w:bidi w:val="0"/>
        <w:spacing w:lineRule="auto" w:line="288" w:before="240" w:after="120"/>
        <w:jc w:val="both"/>
        <w:rPr>
          <w:rFonts w:ascii="Open Sans;sans-serif" w:hAnsi="Open Sans;sans-serif"/>
          <w:b/>
          <w:i/>
          <w:color w:val="000000"/>
          <w:sz w:val="20"/>
        </w:rPr>
      </w:pPr>
      <w:r>
        <w:rPr>
          <w:rFonts w:ascii="Open Sans;sans-serif" w:hAnsi="Open Sans;sans-serif"/>
          <w:b/>
          <w:i/>
          <w:color w:val="000000"/>
          <w:sz w:val="20"/>
        </w:rPr>
        <w:t>Costs of Revenue and Gross Margin</w:t>
      </w:r>
    </w:p>
    <w:tbl>
      <w:tblPr>
        <w:tblW w:w="8513" w:type="dxa"/>
        <w:jc w:val="left"/>
        <w:tblInd w:w="0" w:type="dxa"/>
        <w:tblLayout w:type="fixed"/>
        <w:tblCellMar>
          <w:top w:w="28" w:type="dxa"/>
          <w:left w:w="28" w:type="dxa"/>
          <w:bottom w:w="28" w:type="dxa"/>
          <w:right w:w="28" w:type="dxa"/>
        </w:tblCellMar>
      </w:tblPr>
      <w:tblGrid>
        <w:gridCol w:w="859"/>
        <w:gridCol w:w="753"/>
        <w:gridCol w:w="758"/>
        <w:gridCol w:w="109"/>
        <w:gridCol w:w="109"/>
        <w:gridCol w:w="109"/>
        <w:gridCol w:w="393"/>
        <w:gridCol w:w="244"/>
        <w:gridCol w:w="642"/>
        <w:gridCol w:w="189"/>
        <w:gridCol w:w="189"/>
        <w:gridCol w:w="189"/>
        <w:gridCol w:w="393"/>
        <w:gridCol w:w="211"/>
        <w:gridCol w:w="555"/>
        <w:gridCol w:w="109"/>
        <w:gridCol w:w="109"/>
        <w:gridCol w:w="109"/>
        <w:gridCol w:w="226"/>
        <w:gridCol w:w="826"/>
        <w:gridCol w:w="109"/>
        <w:gridCol w:w="109"/>
        <w:gridCol w:w="109"/>
        <w:gridCol w:w="109"/>
        <w:gridCol w:w="203"/>
        <w:gridCol w:w="203"/>
        <w:gridCol w:w="590"/>
      </w:tblGrid>
      <w:tr>
        <w:trPr/>
        <w:tc>
          <w:tcPr>
            <w:tcW w:w="859"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i/>
                <w:color w:val="000000"/>
                <w:sz w:val="16"/>
              </w:rPr>
            </w:pPr>
            <w:r>
              <w:rPr>
                <w:rFonts w:ascii="Open Sans;sans-serif" w:hAnsi="Open Sans;sans-serif"/>
                <w:b w:val="false"/>
                <w:i/>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2026</w:t>
            </w:r>
          </w:p>
        </w:tc>
        <w:tc>
          <w:tcPr>
            <w:tcW w:w="5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 Change</w:t>
            </w:r>
          </w:p>
        </w:tc>
      </w:tr>
      <w:tr>
        <w:trPr/>
        <w:tc>
          <w:tcPr>
            <w:tcW w:w="23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20"/>
              </w:rPr>
            </w:pPr>
            <w:r>
              <w:rPr>
                <w:rFonts w:ascii="Open Sans;sans-serif" w:hAnsi="Open Sans;sans-serif"/>
                <w:b/>
                <w:color w:val="000000"/>
                <w:sz w:val="20"/>
              </w:rPr>
              <w:t>Costs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Card Network fees,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37,131</w:t>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30,642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6,489 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21 </w:t>
            </w:r>
          </w:p>
        </w:tc>
        <w:tc>
          <w:tcPr>
            <w:tcW w:w="5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Issuing Bank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4,601</w:t>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3,967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634 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16 </w:t>
            </w:r>
          </w:p>
        </w:tc>
        <w:tc>
          <w:tcPr>
            <w:tcW w:w="5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6,474</w:t>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5,785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689 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12 </w:t>
            </w:r>
          </w:p>
        </w:tc>
        <w:tc>
          <w:tcPr>
            <w:tcW w:w="5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Total costs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48,206</w:t>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40,394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7,812 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19 </w:t>
            </w:r>
          </w:p>
        </w:tc>
        <w:tc>
          <w:tcPr>
            <w:tcW w:w="5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117,592</w:t>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98,679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18,913 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19 </w:t>
            </w:r>
          </w:p>
        </w:tc>
        <w:tc>
          <w:tcPr>
            <w:tcW w:w="5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Gross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71 </w:t>
            </w:r>
          </w:p>
        </w:tc>
        <w:tc>
          <w:tcPr>
            <w:tcW w:w="6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71 </w:t>
            </w:r>
          </w:p>
        </w:tc>
        <w:tc>
          <w:tcPr>
            <w:tcW w:w="5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Costs of revenue increased by $7.8 million, or 19%, for the three months ended March 31, 2026, compared to the same period in 2025. This increase was primarily driven by higher Card Network and Issuing Bank fees associated with the 33% increase in TPV.</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 xml:space="preserve">As the increase in costs of revenue was outpaced by the net revenue growth discussed above, gross profit increased by $18.9 million, or 19%, while gross margin remained flat for the three months ended March 31, 2026, compared to the same period in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7955"/>
                <wp:effectExtent l="0" t="0" r="0" b="0"/>
                <wp:wrapNone/>
                <wp:docPr id="30" name="Frame30"/>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30</w:t>
                      </w:r>
                    </w:p>
                  </w:txbxContent>
                </v:textbox>
                <w10:wrap type="none"/>
              </v:rect>
            </w:pict>
          </mc:Fallback>
        </mc:AlternateContent>
      </w:r>
    </w:p>
    <w:p>
      <w:pPr>
        <w:pStyle w:val="TextBody"/>
        <w:bidi w:val="0"/>
        <w:spacing w:lineRule="auto" w:line="288" w:before="0" w:after="60"/>
        <w:jc w:val="left"/>
        <w:rPr/>
      </w:pPr>
      <w:hyperlink w:anchor="i86ce94018fb640d7903f0edbc68bd8af_7">
        <w:r>
          <w:rPr>
            <w:rStyle w:val="InternetLink"/>
            <w:rFonts w:ascii="Open Sans;sans-serif" w:hAnsi="Open Sans;sans-serif"/>
            <w:b w:val="false"/>
            <w:color w:val="0000FF"/>
            <w:sz w:val="18"/>
            <w:u w:val="single"/>
          </w:rPr>
          <w:t>Table of Contents</w:t>
        </w:r>
      </w:hyperlink>
    </w:p>
    <w:p>
      <w:pPr>
        <w:pStyle w:val="TextBody"/>
        <w:bidi w:val="0"/>
        <w:spacing w:before="0" w:after="0"/>
        <w:jc w:val="center"/>
        <w:rPr/>
      </w:pPr>
      <w:r>
        <w:rPr/>
      </w:r>
    </w:p>
    <w:p>
      <w:pPr>
        <w:pStyle w:val="TextBody"/>
        <w:bidi w:val="0"/>
        <w:spacing w:lineRule="auto" w:line="288" w:before="240" w:after="120"/>
        <w:jc w:val="both"/>
        <w:rPr>
          <w:rFonts w:ascii="Open Sans;sans-serif" w:hAnsi="Open Sans;sans-serif"/>
          <w:b/>
          <w:i/>
          <w:color w:val="000000"/>
          <w:sz w:val="20"/>
        </w:rPr>
      </w:pPr>
      <w:r>
        <w:rPr>
          <w:rFonts w:ascii="Open Sans;sans-serif" w:hAnsi="Open Sans;sans-serif"/>
          <w:b/>
          <w:i/>
          <w:color w:val="000000"/>
          <w:sz w:val="20"/>
        </w:rPr>
        <w:t>Operating Expenses</w:t>
      </w:r>
    </w:p>
    <w:tbl>
      <w:tblPr>
        <w:tblW w:w="10205" w:type="dxa"/>
        <w:jc w:val="left"/>
        <w:tblInd w:w="0" w:type="dxa"/>
        <w:tblLayout w:type="fixed"/>
        <w:tblCellMar>
          <w:top w:w="28" w:type="dxa"/>
          <w:left w:w="28" w:type="dxa"/>
          <w:bottom w:w="28" w:type="dxa"/>
          <w:right w:w="28" w:type="dxa"/>
        </w:tblCellMar>
      </w:tblPr>
      <w:tblGrid>
        <w:gridCol w:w="1474"/>
        <w:gridCol w:w="1249"/>
        <w:gridCol w:w="1257"/>
        <w:gridCol w:w="109"/>
        <w:gridCol w:w="109"/>
        <w:gridCol w:w="109"/>
        <w:gridCol w:w="226"/>
        <w:gridCol w:w="826"/>
        <w:gridCol w:w="286"/>
        <w:gridCol w:w="109"/>
        <w:gridCol w:w="109"/>
        <w:gridCol w:w="109"/>
        <w:gridCol w:w="226"/>
        <w:gridCol w:w="826"/>
        <w:gridCol w:w="286"/>
        <w:gridCol w:w="109"/>
        <w:gridCol w:w="109"/>
        <w:gridCol w:w="109"/>
        <w:gridCol w:w="226"/>
        <w:gridCol w:w="788"/>
        <w:gridCol w:w="109"/>
        <w:gridCol w:w="109"/>
        <w:gridCol w:w="109"/>
        <w:gridCol w:w="109"/>
        <w:gridCol w:w="262"/>
        <w:gridCol w:w="264"/>
        <w:gridCol w:w="592"/>
      </w:tblGrid>
      <w:tr>
        <w:trPr/>
        <w:tc>
          <w:tcPr>
            <w:tcW w:w="1474"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r>
      <w:tr>
        <w:trPr/>
        <w:tc>
          <w:tcPr>
            <w:tcW w:w="3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i/>
                <w:color w:val="000000"/>
                <w:sz w:val="16"/>
              </w:rPr>
            </w:pPr>
            <w:r>
              <w:rPr>
                <w:rFonts w:ascii="Open Sans;sans-serif" w:hAnsi="Open Sans;sans-serif"/>
                <w:b w:val="false"/>
                <w:i/>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 Change</w:t>
            </w:r>
          </w:p>
        </w:tc>
      </w:tr>
      <w:tr>
        <w:trPr/>
        <w:tc>
          <w:tcPr>
            <w:tcW w:w="39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Open Sans;sans-serif" w:hAnsi="Open Sans;sans-serif"/>
                <w:b/>
                <w:color w:val="000000"/>
                <w:sz w:val="20"/>
              </w:rPr>
            </w:pPr>
            <w:r>
              <w:rPr>
                <w:rFonts w:ascii="Open Sans;sans-serif" w:hAnsi="Open Sans;sans-serif"/>
                <w:b/>
                <w:color w:val="000000"/>
                <w:sz w:val="20"/>
              </w:rPr>
              <w:t>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Salaries, bonus, benefits and payroll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58,001 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60,135 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7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(2,134)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w:t>
            </w:r>
          </w:p>
        </w:tc>
        <w:tc>
          <w:tcPr>
            <w:tcW w:w="5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r>
      <w:tr>
        <w:trPr/>
        <w:tc>
          <w:tcPr>
            <w:tcW w:w="3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Share-based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20,017 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25,915 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(5,898)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(23)</w:t>
            </w:r>
          </w:p>
        </w:tc>
        <w:tc>
          <w:tcPr>
            <w:tcW w:w="5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r>
      <w:tr>
        <w:trPr/>
        <w:tc>
          <w:tcPr>
            <w:tcW w:w="3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Total compensation and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78,018 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86,050 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(8,032)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(9)</w:t>
            </w:r>
          </w:p>
        </w:tc>
        <w:tc>
          <w:tcPr>
            <w:tcW w:w="5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r>
      <w:tr>
        <w:trPr/>
        <w:tc>
          <w:tcPr>
            <w:tcW w:w="3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i/>
                <w:color w:val="000000"/>
                <w:sz w:val="20"/>
              </w:rPr>
            </w:pPr>
            <w:r>
              <w:rPr>
                <w:rFonts w:ascii="Open Sans;sans-serif" w:hAnsi="Open Sans;sans-serif"/>
                <w:b w:val="false"/>
                <w:i/>
                <w:color w:val="000000"/>
                <w:sz w:val="20"/>
              </w:rPr>
              <w:t>Percentage of net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i/>
                <w:color w:val="000000"/>
                <w:sz w:val="20"/>
              </w:rPr>
            </w:pPr>
            <w:r>
              <w:rPr>
                <w:rFonts w:ascii="Open Sans;sans-serif" w:hAnsi="Open Sans;sans-serif"/>
                <w:b w:val="false"/>
                <w:i/>
                <w:color w:val="000000"/>
                <w:sz w:val="20"/>
              </w:rPr>
              <w:t>47 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i/>
                <w:color w:val="000000"/>
                <w:sz w:val="20"/>
              </w:rPr>
            </w:pPr>
            <w:r>
              <w:rPr>
                <w:rFonts w:ascii="Open Sans;sans-serif" w:hAnsi="Open Sans;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i/>
                <w:color w:val="000000"/>
                <w:sz w:val="20"/>
              </w:rPr>
            </w:pPr>
            <w:r>
              <w:rPr>
                <w:rFonts w:ascii="Open Sans;sans-serif" w:hAnsi="Open Sans;sans-serif"/>
                <w:b w:val="false"/>
                <w:i/>
                <w:color w:val="000000"/>
                <w:sz w:val="20"/>
              </w:rPr>
              <w:t>62 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i/>
                <w:color w:val="000000"/>
                <w:sz w:val="20"/>
              </w:rPr>
            </w:pPr>
            <w:r>
              <w:rPr>
                <w:rFonts w:ascii="Open Sans;sans-serif" w:hAnsi="Open Sans;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Technology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18,090 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14,811 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22 </w:t>
            </w:r>
          </w:p>
        </w:tc>
        <w:tc>
          <w:tcPr>
            <w:tcW w:w="5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r>
      <w:tr>
        <w:trPr/>
        <w:tc>
          <w:tcPr>
            <w:tcW w:w="3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i/>
                <w:color w:val="000000"/>
                <w:sz w:val="20"/>
              </w:rPr>
            </w:pPr>
            <w:r>
              <w:rPr>
                <w:rFonts w:ascii="Open Sans;sans-serif" w:hAnsi="Open Sans;sans-serif"/>
                <w:b w:val="false"/>
                <w:i/>
                <w:color w:val="000000"/>
                <w:sz w:val="20"/>
              </w:rPr>
              <w:t>Percentage of net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i/>
                <w:color w:val="000000"/>
                <w:sz w:val="20"/>
              </w:rPr>
            </w:pPr>
            <w:r>
              <w:rPr>
                <w:rFonts w:ascii="Open Sans;sans-serif" w:hAnsi="Open Sans;sans-serif"/>
                <w:b w:val="false"/>
                <w:i/>
                <w:color w:val="000000"/>
                <w:sz w:val="20"/>
              </w:rPr>
              <w:t>11 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i/>
                <w:color w:val="000000"/>
                <w:sz w:val="20"/>
              </w:rPr>
            </w:pPr>
            <w:r>
              <w:rPr>
                <w:rFonts w:ascii="Open Sans;sans-serif" w:hAnsi="Open Sans;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i/>
                <w:color w:val="000000"/>
                <w:sz w:val="20"/>
              </w:rPr>
            </w:pPr>
            <w:r>
              <w:rPr>
                <w:rFonts w:ascii="Open Sans;sans-serif" w:hAnsi="Open Sans;sans-serif"/>
                <w:b w:val="false"/>
                <w:i/>
                <w:color w:val="000000"/>
                <w:sz w:val="20"/>
              </w:rPr>
              <w:t>11 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i/>
                <w:color w:val="000000"/>
                <w:sz w:val="20"/>
              </w:rPr>
            </w:pPr>
            <w:r>
              <w:rPr>
                <w:rFonts w:ascii="Open Sans;sans-serif" w:hAnsi="Open Sans;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8,854 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5,331 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3,523 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66 </w:t>
            </w:r>
          </w:p>
        </w:tc>
        <w:tc>
          <w:tcPr>
            <w:tcW w:w="5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r>
      <w:tr>
        <w:trPr/>
        <w:tc>
          <w:tcPr>
            <w:tcW w:w="3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i/>
                <w:color w:val="000000"/>
                <w:sz w:val="20"/>
              </w:rPr>
            </w:pPr>
            <w:r>
              <w:rPr>
                <w:rFonts w:ascii="Open Sans;sans-serif" w:hAnsi="Open Sans;sans-serif"/>
                <w:b w:val="false"/>
                <w:i/>
                <w:color w:val="000000"/>
                <w:sz w:val="20"/>
              </w:rPr>
              <w:t>Percentage of net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i/>
                <w:color w:val="000000"/>
                <w:sz w:val="20"/>
              </w:rPr>
            </w:pPr>
            <w:r>
              <w:rPr>
                <w:rFonts w:ascii="Open Sans;sans-serif" w:hAnsi="Open Sans;sans-serif"/>
                <w:b w:val="false"/>
                <w:i/>
                <w:color w:val="000000"/>
                <w:sz w:val="20"/>
              </w:rPr>
              <w:t>5 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i/>
                <w:color w:val="000000"/>
                <w:sz w:val="20"/>
              </w:rPr>
            </w:pPr>
            <w:r>
              <w:rPr>
                <w:rFonts w:ascii="Open Sans;sans-serif" w:hAnsi="Open Sans;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i/>
                <w:color w:val="000000"/>
                <w:sz w:val="20"/>
              </w:rPr>
            </w:pPr>
            <w:r>
              <w:rPr>
                <w:rFonts w:ascii="Open Sans;sans-serif" w:hAnsi="Open Sans;sans-serif"/>
                <w:b w:val="false"/>
                <w:i/>
                <w:color w:val="000000"/>
                <w:sz w:val="20"/>
              </w:rPr>
              <w:t>4 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i/>
                <w:color w:val="000000"/>
                <w:sz w:val="20"/>
              </w:rPr>
            </w:pPr>
            <w:r>
              <w:rPr>
                <w:rFonts w:ascii="Open Sans;sans-serif" w:hAnsi="Open Sans;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Professional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4,631 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5,695 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(1,064)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(19)</w:t>
            </w:r>
          </w:p>
        </w:tc>
        <w:tc>
          <w:tcPr>
            <w:tcW w:w="5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r>
      <w:tr>
        <w:trPr/>
        <w:tc>
          <w:tcPr>
            <w:tcW w:w="3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i/>
                <w:color w:val="000000"/>
                <w:sz w:val="20"/>
              </w:rPr>
            </w:pPr>
            <w:r>
              <w:rPr>
                <w:rFonts w:ascii="Open Sans;sans-serif" w:hAnsi="Open Sans;sans-serif"/>
                <w:b w:val="false"/>
                <w:i/>
                <w:color w:val="000000"/>
                <w:sz w:val="20"/>
              </w:rPr>
              <w:t>Percentage of net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i/>
                <w:color w:val="000000"/>
                <w:sz w:val="20"/>
              </w:rPr>
            </w:pPr>
            <w:r>
              <w:rPr>
                <w:rFonts w:ascii="Open Sans;sans-serif" w:hAnsi="Open Sans;sans-serif"/>
                <w:b w:val="false"/>
                <w:i/>
                <w:color w:val="000000"/>
                <w:sz w:val="20"/>
              </w:rPr>
              <w:t>3 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i/>
                <w:color w:val="000000"/>
                <w:sz w:val="20"/>
              </w:rPr>
            </w:pPr>
            <w:r>
              <w:rPr>
                <w:rFonts w:ascii="Open Sans;sans-serif" w:hAnsi="Open Sans;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i/>
                <w:color w:val="000000"/>
                <w:sz w:val="20"/>
              </w:rPr>
            </w:pPr>
            <w:r>
              <w:rPr>
                <w:rFonts w:ascii="Open Sans;sans-serif" w:hAnsi="Open Sans;sans-serif"/>
                <w:b w:val="false"/>
                <w:i/>
                <w:color w:val="000000"/>
                <w:sz w:val="20"/>
              </w:rPr>
              <w:t>4 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i/>
                <w:color w:val="000000"/>
                <w:sz w:val="20"/>
              </w:rPr>
            </w:pPr>
            <w:r>
              <w:rPr>
                <w:rFonts w:ascii="Open Sans;sans-serif" w:hAnsi="Open Sans;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Occupancy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1,179 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917 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29 </w:t>
            </w:r>
          </w:p>
        </w:tc>
        <w:tc>
          <w:tcPr>
            <w:tcW w:w="5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r>
      <w:tr>
        <w:trPr/>
        <w:tc>
          <w:tcPr>
            <w:tcW w:w="3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i/>
                <w:color w:val="000000"/>
                <w:sz w:val="20"/>
              </w:rPr>
            </w:pPr>
            <w:r>
              <w:rPr>
                <w:rFonts w:ascii="Open Sans;sans-serif" w:hAnsi="Open Sans;sans-serif"/>
                <w:b w:val="false"/>
                <w:i/>
                <w:color w:val="000000"/>
                <w:sz w:val="20"/>
              </w:rPr>
              <w:t>Percentage of net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i/>
                <w:color w:val="000000"/>
                <w:sz w:val="20"/>
              </w:rPr>
            </w:pPr>
            <w:r>
              <w:rPr>
                <w:rFonts w:ascii="Open Sans;sans-serif" w:hAnsi="Open Sans;sans-serif"/>
                <w:b w:val="false"/>
                <w:i/>
                <w:color w:val="000000"/>
                <w:sz w:val="20"/>
              </w:rPr>
              <w:t>1 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i/>
                <w:color w:val="000000"/>
                <w:sz w:val="20"/>
              </w:rPr>
            </w:pPr>
            <w:r>
              <w:rPr>
                <w:rFonts w:ascii="Open Sans;sans-serif" w:hAnsi="Open Sans;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i/>
                <w:color w:val="000000"/>
                <w:sz w:val="20"/>
              </w:rPr>
            </w:pPr>
            <w:r>
              <w:rPr>
                <w:rFonts w:ascii="Open Sans;sans-serif" w:hAnsi="Open Sans;sans-serif"/>
                <w:b w:val="false"/>
                <w:i/>
                <w:color w:val="000000"/>
                <w:sz w:val="20"/>
              </w:rPr>
              <w:t>1 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i/>
                <w:color w:val="000000"/>
                <w:sz w:val="20"/>
              </w:rPr>
            </w:pPr>
            <w:r>
              <w:rPr>
                <w:rFonts w:ascii="Open Sans;sans-serif" w:hAnsi="Open Sans;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Marketing and advertising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1,160 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469 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691 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147 </w:t>
            </w:r>
          </w:p>
        </w:tc>
        <w:tc>
          <w:tcPr>
            <w:tcW w:w="5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r>
      <w:tr>
        <w:trPr/>
        <w:tc>
          <w:tcPr>
            <w:tcW w:w="3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i/>
                <w:color w:val="000000"/>
                <w:sz w:val="20"/>
              </w:rPr>
            </w:pPr>
            <w:r>
              <w:rPr>
                <w:rFonts w:ascii="Open Sans;sans-serif" w:hAnsi="Open Sans;sans-serif"/>
                <w:b w:val="false"/>
                <w:i/>
                <w:color w:val="000000"/>
                <w:sz w:val="20"/>
              </w:rPr>
              <w:t>Percentage of net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i/>
                <w:color w:val="000000"/>
                <w:sz w:val="20"/>
              </w:rPr>
            </w:pPr>
            <w:r>
              <w:rPr>
                <w:rFonts w:ascii="Open Sans;sans-serif" w:hAnsi="Open Sans;sans-serif"/>
                <w:b w:val="false"/>
                <w:i/>
                <w:color w:val="000000"/>
                <w:sz w:val="20"/>
              </w:rPr>
              <w:t>1 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i/>
                <w:color w:val="000000"/>
                <w:sz w:val="20"/>
              </w:rPr>
            </w:pPr>
            <w:r>
              <w:rPr>
                <w:rFonts w:ascii="Open Sans;sans-serif" w:hAnsi="Open Sans;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i/>
                <w:color w:val="000000"/>
                <w:sz w:val="20"/>
              </w:rPr>
            </w:pPr>
            <w:r>
              <w:rPr>
                <w:rFonts w:ascii="Open Sans;sans-serif" w:hAnsi="Open Sans;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Other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3,566 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3,944 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(10)</w:t>
            </w:r>
          </w:p>
        </w:tc>
        <w:tc>
          <w:tcPr>
            <w:tcW w:w="5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r>
      <w:tr>
        <w:trPr/>
        <w:tc>
          <w:tcPr>
            <w:tcW w:w="3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i/>
                <w:color w:val="000000"/>
                <w:sz w:val="20"/>
              </w:rPr>
            </w:pPr>
            <w:r>
              <w:rPr>
                <w:rFonts w:ascii="Open Sans;sans-serif" w:hAnsi="Open Sans;sans-serif"/>
                <w:b w:val="false"/>
                <w:i/>
                <w:color w:val="000000"/>
                <w:sz w:val="20"/>
              </w:rPr>
              <w:t>Percentage of net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i/>
                <w:color w:val="000000"/>
                <w:sz w:val="20"/>
              </w:rPr>
            </w:pPr>
            <w:r>
              <w:rPr>
                <w:rFonts w:ascii="Open Sans;sans-serif" w:hAnsi="Open Sans;sans-serif"/>
                <w:b w:val="false"/>
                <w:i/>
                <w:color w:val="000000"/>
                <w:sz w:val="20"/>
              </w:rPr>
              <w:t>2 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i/>
                <w:color w:val="000000"/>
                <w:sz w:val="20"/>
              </w:rPr>
            </w:pPr>
            <w:r>
              <w:rPr>
                <w:rFonts w:ascii="Open Sans;sans-serif" w:hAnsi="Open Sans;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i/>
                <w:color w:val="000000"/>
                <w:sz w:val="20"/>
              </w:rPr>
            </w:pPr>
            <w:r>
              <w:rPr>
                <w:rFonts w:ascii="Open Sans;sans-serif" w:hAnsi="Open Sans;sans-serif"/>
                <w:b w:val="false"/>
                <w:i/>
                <w:color w:val="000000"/>
                <w:sz w:val="20"/>
              </w:rPr>
              <w:t>3 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i/>
                <w:color w:val="000000"/>
                <w:sz w:val="20"/>
              </w:rPr>
            </w:pPr>
            <w:r>
              <w:rPr>
                <w:rFonts w:ascii="Open Sans;sans-serif" w:hAnsi="Open Sans;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r>
      <w:tr>
        <w:trPr/>
        <w:tc>
          <w:tcPr>
            <w:tcW w:w="3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r>
      <w:tr>
        <w:trPr/>
        <w:tc>
          <w:tcPr>
            <w:tcW w:w="39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115,498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117,217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(1,719)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w:t>
            </w:r>
          </w:p>
        </w:tc>
        <w:tc>
          <w:tcPr>
            <w:tcW w:w="5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r>
      <w:tr>
        <w:trPr/>
        <w:tc>
          <w:tcPr>
            <w:tcW w:w="3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i/>
                <w:color w:val="000000"/>
                <w:sz w:val="20"/>
              </w:rPr>
            </w:pPr>
            <w:r>
              <w:rPr>
                <w:rFonts w:ascii="Open Sans;sans-serif" w:hAnsi="Open Sans;sans-serif"/>
                <w:b w:val="false"/>
                <w:i/>
                <w:color w:val="000000"/>
                <w:sz w:val="20"/>
              </w:rPr>
              <w:t>Percentage of net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Open Sans;sans-serif" w:hAnsi="Open Sans;sans-serif"/>
          <w:b w:val="false"/>
          <w:color w:val="000000"/>
          <w:sz w:val="20"/>
        </w:rPr>
      </w:pPr>
      <w:r>
        <w:rPr>
          <w:rFonts w:ascii="Open Sans;sans-serif" w:hAnsi="Open Sans;sans-serif"/>
          <w:b w:val="false"/>
          <w:color w:val="000000"/>
          <w:sz w:val="20"/>
        </w:rPr>
        <w:t>Salaries, bonus, benefits, and payroll taxes decreased by $2.1 million, or 4%, for the three months ended March 31, 2026, compared to the same period in 2025. This decrease was primarily driven by lower post-combination compensation expenses for former Power Finance employees, an increase in capitalized salaries, bonus, and benefits costs related to internal-use software development in 2026, and lower year-over-year severance and one-time retention bonuses awarded to certain key employees. These were partially offset by a year-over-year increase in salaries, bonus, and contractor expenses as a result of an increase in headcount during the three months ended March 31, 2026, compared to the same period in 2025.</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Share-based compensation decreased by $5.9 million, or 23%, for the three months ended March 31, 2026, compared to the same period in 2025. This decrease was primarily driven by the fully vesting of higher grant-date fair value awards issued in prior years. These older awards are being replaced by new awards granted in more recent periods that carry lower grant-date fair values.</w:t>
      </w:r>
    </w:p>
    <w:p>
      <w:pPr>
        <w:pStyle w:val="TextBody"/>
        <w:bidi w:val="0"/>
        <w:spacing w:lineRule="auto" w:line="288" w:before="120" w:after="283"/>
        <w:jc w:val="both"/>
        <w:rPr/>
      </w:pPr>
      <w:r>
        <w:rPr>
          <w:rFonts w:ascii="Open Sans;sans-serif" w:hAnsi="Open Sans;sans-serif"/>
          <w:b w:val="false"/>
          <w:color w:val="000000"/>
          <w:sz w:val="20"/>
        </w:rPr>
        <w:t>Technology expenses increased by $3.3 million</w:t>
      </w:r>
      <w:r>
        <w:rPr>
          <w:rFonts w:ascii="Times New Roman;serif" w:hAnsi="Times New Roman;serif"/>
          <w:b w:val="false"/>
          <w:color w:val="000000"/>
          <w:sz w:val="20"/>
        </w:rPr>
        <w:t xml:space="preserve">, </w:t>
      </w:r>
      <w:r>
        <w:rPr>
          <w:rFonts w:ascii="Open Sans;sans-serif" w:hAnsi="Open Sans;sans-serif"/>
          <w:b w:val="false"/>
          <w:color w:val="000000"/>
          <w:sz w:val="20"/>
        </w:rPr>
        <w:t>or 22%</w:t>
      </w:r>
      <w:r>
        <w:rPr>
          <w:rFonts w:ascii="Times New Roman;serif" w:hAnsi="Times New Roman;serif"/>
          <w:b w:val="false"/>
          <w:color w:val="000000"/>
          <w:sz w:val="20"/>
        </w:rPr>
        <w:t>,</w:t>
      </w:r>
      <w:r>
        <w:rPr>
          <w:color w:val="000000"/>
        </w:rPr>
        <w:t xml:space="preserve"> </w:t>
      </w:r>
      <w:r>
        <w:rPr>
          <w:rFonts w:ascii="Open Sans;sans-serif" w:hAnsi="Open Sans;sans-serif"/>
          <w:b w:val="false"/>
          <w:color w:val="000000"/>
          <w:sz w:val="20"/>
        </w:rPr>
        <w:t>for the three months ended March 31, 2026, compared to the same period in 2025. This increase was mainly driven by higher software licenses and hosting costs to support system and tool implementations amid ongoing business growth.</w:t>
      </w:r>
    </w:p>
    <w:p>
      <w:pPr>
        <w:pStyle w:val="TextBody"/>
        <w:bidi w:val="0"/>
        <w:spacing w:lineRule="auto" w:line="288" w:before="120" w:after="120"/>
        <w:jc w:val="both"/>
        <w:rPr>
          <w:rFonts w:ascii="Open Sans;sans-serif" w:hAnsi="Open Sans;sans-serif"/>
          <w:b w:val="false"/>
          <w:color w:val="000000"/>
          <w:sz w:val="20"/>
        </w:rPr>
      </w:pPr>
      <w:r>
        <w:rPr>
          <w:rFonts w:ascii="Open Sans;sans-serif" w:hAnsi="Open Sans;sans-serif"/>
          <w:b w:val="false"/>
          <w:color w:val="000000"/>
          <w:sz w:val="20"/>
        </w:rPr>
        <w:t>Depreciation and amortization expense increased by $3.5 million, or 66%, for the three months ended March 31, 2026, compared to the same period in 2025. This increase was primarily driven by higher amortization of internally developed software as additional projects were capitalized and placed into service, as well as amortization of the customer relationships intangible asset acquired from TransactPay in the third quarter of 2025.</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 xml:space="preserve">Professional services expenses decreased by $1.1 million or 19%, for the three months ended March 31, 2026, compared to the same period in 2025 due to professional fees incurred during the quarter ended March 31, 2025 that did not reoccur during the same period in 2026. </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Occupancy expense remained relatively flat for the three months ended March 31, 2026, compared to the same period in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7955"/>
                <wp:effectExtent l="0" t="0" r="0" b="0"/>
                <wp:wrapNone/>
                <wp:docPr id="31" name="Frame31"/>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31</w:t>
                      </w:r>
                    </w:p>
                  </w:txbxContent>
                </v:textbox>
                <w10:wrap type="none"/>
              </v:rect>
            </w:pict>
          </mc:Fallback>
        </mc:AlternateContent>
      </w:r>
    </w:p>
    <w:p>
      <w:pPr>
        <w:pStyle w:val="TextBody"/>
        <w:bidi w:val="0"/>
        <w:spacing w:lineRule="auto" w:line="288" w:before="0" w:after="60"/>
        <w:jc w:val="left"/>
        <w:rPr/>
      </w:pPr>
      <w:hyperlink w:anchor="i86ce94018fb640d7903f0edbc68bd8af_7">
        <w:r>
          <w:rPr>
            <w:rStyle w:val="InternetLink"/>
            <w:rFonts w:ascii="Open Sans;sans-serif" w:hAnsi="Open Sans;sans-serif"/>
            <w:b w:val="false"/>
            <w:color w:val="0000FF"/>
            <w:sz w:val="18"/>
            <w:u w:val="single"/>
          </w:rPr>
          <w:t>Table of Contents</w:t>
        </w:r>
      </w:hyperlink>
    </w:p>
    <w:p>
      <w:pPr>
        <w:pStyle w:val="TextBody"/>
        <w:bidi w:val="0"/>
        <w:spacing w:before="0" w:after="0"/>
        <w:jc w:val="center"/>
        <w:rPr/>
      </w:pPr>
      <w:r>
        <w:rPr/>
      </w:r>
    </w:p>
    <w:p>
      <w:pPr>
        <w:pStyle w:val="TextBody"/>
        <w:bidi w:val="0"/>
        <w:spacing w:lineRule="auto" w:line="288" w:before="120" w:after="120"/>
        <w:jc w:val="both"/>
        <w:rPr>
          <w:rFonts w:ascii="Open Sans;sans-serif" w:hAnsi="Open Sans;sans-serif"/>
          <w:b w:val="false"/>
          <w:color w:val="000000"/>
          <w:sz w:val="20"/>
        </w:rPr>
      </w:pPr>
      <w:r>
        <w:rPr>
          <w:rFonts w:ascii="Open Sans;sans-serif" w:hAnsi="Open Sans;sans-serif"/>
          <w:b w:val="false"/>
          <w:color w:val="000000"/>
          <w:sz w:val="20"/>
        </w:rPr>
        <w:t>Marketing and advertising expenses increased by $0.7 million, or 147%, for the three months ended March 31, 2026, compared to the same period in 2025, primarily due to increased spending on brand campaigns and continued investment in marketing and advertising initiatives.</w:t>
      </w:r>
    </w:p>
    <w:p>
      <w:pPr>
        <w:pStyle w:val="TextBody"/>
        <w:bidi w:val="0"/>
        <w:spacing w:lineRule="auto" w:line="288" w:before="120" w:after="120"/>
        <w:jc w:val="both"/>
        <w:rPr>
          <w:rFonts w:ascii="Open Sans;sans-serif" w:hAnsi="Open Sans;sans-serif"/>
          <w:b w:val="false"/>
          <w:color w:val="000000"/>
          <w:sz w:val="20"/>
        </w:rPr>
      </w:pPr>
      <w:r>
        <w:rPr>
          <w:rFonts w:ascii="Open Sans;sans-serif" w:hAnsi="Open Sans;sans-serif"/>
          <w:b w:val="false"/>
          <w:color w:val="000000"/>
          <w:sz w:val="20"/>
        </w:rPr>
        <w:t xml:space="preserve">Other operating expenses remained relatively flat for the three months ended March 31, 2026 compared to the same period in 2025. </w:t>
      </w:r>
    </w:p>
    <w:p>
      <w:pPr>
        <w:pStyle w:val="TextBody"/>
        <w:bidi w:val="0"/>
        <w:spacing w:lineRule="auto" w:line="288" w:before="240" w:after="120"/>
        <w:jc w:val="both"/>
        <w:rPr>
          <w:rFonts w:ascii="Open Sans;sans-serif" w:hAnsi="Open Sans;sans-serif"/>
          <w:b/>
          <w:i/>
          <w:color w:val="000000"/>
          <w:sz w:val="20"/>
        </w:rPr>
      </w:pPr>
      <w:r>
        <w:rPr>
          <w:rFonts w:ascii="Open Sans;sans-serif" w:hAnsi="Open Sans;sans-serif"/>
          <w:b/>
          <w:i/>
          <w:color w:val="000000"/>
          <w:sz w:val="20"/>
        </w:rPr>
        <w:t>Other Income, net</w:t>
      </w:r>
    </w:p>
    <w:tbl>
      <w:tblPr>
        <w:tblW w:w="8780" w:type="dxa"/>
        <w:jc w:val="left"/>
        <w:tblInd w:w="0" w:type="dxa"/>
        <w:tblLayout w:type="fixed"/>
        <w:tblCellMar>
          <w:top w:w="28" w:type="dxa"/>
          <w:left w:w="28" w:type="dxa"/>
          <w:bottom w:w="28" w:type="dxa"/>
          <w:right w:w="28" w:type="dxa"/>
        </w:tblCellMar>
      </w:tblPr>
      <w:tblGrid>
        <w:gridCol w:w="978"/>
        <w:gridCol w:w="858"/>
        <w:gridCol w:w="864"/>
        <w:gridCol w:w="109"/>
        <w:gridCol w:w="109"/>
        <w:gridCol w:w="109"/>
        <w:gridCol w:w="226"/>
        <w:gridCol w:w="706"/>
        <w:gridCol w:w="286"/>
        <w:gridCol w:w="109"/>
        <w:gridCol w:w="109"/>
        <w:gridCol w:w="109"/>
        <w:gridCol w:w="226"/>
        <w:gridCol w:w="826"/>
        <w:gridCol w:w="286"/>
        <w:gridCol w:w="109"/>
        <w:gridCol w:w="109"/>
        <w:gridCol w:w="109"/>
        <w:gridCol w:w="226"/>
        <w:gridCol w:w="796"/>
        <w:gridCol w:w="109"/>
        <w:gridCol w:w="109"/>
        <w:gridCol w:w="109"/>
        <w:gridCol w:w="109"/>
        <w:gridCol w:w="247"/>
        <w:gridCol w:w="248"/>
        <w:gridCol w:w="590"/>
      </w:tblGrid>
      <w:tr>
        <w:trPr/>
        <w:tc>
          <w:tcPr>
            <w:tcW w:w="978"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i/>
                <w:color w:val="000000"/>
                <w:sz w:val="16"/>
              </w:rPr>
            </w:pPr>
            <w:r>
              <w:rPr>
                <w:rFonts w:ascii="Open Sans;sans-serif" w:hAnsi="Open Sans;sans-serif"/>
                <w:b w:val="false"/>
                <w:i/>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 Change</w:t>
            </w:r>
          </w:p>
        </w:tc>
      </w:tr>
      <w:tr>
        <w:trPr/>
        <w:tc>
          <w:tcPr>
            <w:tcW w:w="27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Other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5,933 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10,513 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(4,580)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(44)</w:t>
            </w:r>
          </w:p>
        </w:tc>
        <w:tc>
          <w:tcPr>
            <w:tcW w:w="5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Percentage of net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8 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Open Sans;sans-serif" w:hAnsi="Open Sans;sans-serif"/>
          <w:b w:val="false"/>
          <w:color w:val="000000"/>
          <w:sz w:val="20"/>
        </w:rPr>
      </w:pPr>
      <w:r>
        <w:rPr>
          <w:rFonts w:ascii="Open Sans;sans-serif" w:hAnsi="Open Sans;sans-serif"/>
          <w:b w:val="false"/>
          <w:color w:val="000000"/>
          <w:sz w:val="20"/>
        </w:rPr>
        <w:t xml:space="preserve">Other income, net decreased by $4.6 million, or 44%, for the three months ended March 31, 2026, compared to the same period in 2025. This decrease was primarily driven by lower interest income from our short-term investment portfolio and cash balances, as average balances were lower due to share repurchases completed in 2025 and the first quarter of 2026. We also realized lower average yields during the first quarter of 2026 compared to the same period in 2025. This decrease was partially offset by a $0.9 million gain from the remeasurement of the Digital Products Earn-out liability related to the TransactPay acquisition during the three months ended March 31, 2026. </w:t>
      </w:r>
    </w:p>
    <w:p>
      <w:pPr>
        <w:pStyle w:val="TextBody"/>
        <w:bidi w:val="0"/>
        <w:spacing w:lineRule="auto" w:line="288" w:before="240" w:after="120"/>
        <w:jc w:val="both"/>
        <w:rPr>
          <w:rFonts w:ascii="Open Sans;sans-serif" w:hAnsi="Open Sans;sans-serif"/>
          <w:b/>
          <w:i/>
          <w:color w:val="000000"/>
          <w:sz w:val="20"/>
        </w:rPr>
      </w:pPr>
      <w:r>
        <w:rPr>
          <w:rFonts w:ascii="Open Sans;sans-serif" w:hAnsi="Open Sans;sans-serif"/>
          <w:b/>
          <w:i/>
          <w:color w:val="000000"/>
          <w:sz w:val="20"/>
        </w:rPr>
        <w:t xml:space="preserve">Income Tax Expense </w:t>
      </w:r>
    </w:p>
    <w:p>
      <w:pPr>
        <w:pStyle w:val="TextBody"/>
        <w:bidi w:val="0"/>
        <w:spacing w:lineRule="auto" w:line="288" w:before="180" w:after="283"/>
        <w:jc w:val="both"/>
        <w:rPr>
          <w:rFonts w:ascii="Open Sans;sans-serif" w:hAnsi="Open Sans;sans-serif"/>
          <w:b w:val="false"/>
          <w:color w:val="000000"/>
          <w:sz w:val="20"/>
        </w:rPr>
      </w:pPr>
      <w:r>
        <w:rPr>
          <w:rFonts w:ascii="Open Sans;sans-serif" w:hAnsi="Open Sans;sans-serif"/>
          <w:b w:val="false"/>
          <w:color w:val="000000"/>
          <w:sz w:val="20"/>
        </w:rPr>
        <w:t>Income tax expense remained relatively flat for the three months ended March 31, 2026 compared to the same period in 2025.</w:t>
      </w:r>
    </w:p>
    <w:p>
      <w:pPr>
        <w:pStyle w:val="TextBody"/>
        <w:bidi w:val="0"/>
        <w:spacing w:lineRule="auto" w:line="288" w:before="240" w:after="283"/>
        <w:jc w:val="both"/>
        <w:rPr>
          <w:rFonts w:ascii="Open Sans;sans-serif" w:hAnsi="Open Sans;sans-serif"/>
          <w:b/>
          <w:i/>
          <w:color w:val="000000"/>
          <w:sz w:val="20"/>
        </w:rPr>
      </w:pPr>
      <w:r>
        <w:rPr>
          <w:rFonts w:ascii="Open Sans;sans-serif" w:hAnsi="Open Sans;sans-serif"/>
          <w:b/>
          <w:i/>
          <w:color w:val="000000"/>
          <w:sz w:val="20"/>
        </w:rPr>
        <w:t>Customer Concentration</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We generated 42% and 45% of our net revenue from our largest customer, Block, during the three months ended March 31, 2026 and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7955"/>
                <wp:effectExtent l="0" t="0" r="0" b="0"/>
                <wp:wrapNone/>
                <wp:docPr id="32" name="Frame32"/>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32</w:t>
                      </w:r>
                    </w:p>
                  </w:txbxContent>
                </v:textbox>
                <w10:wrap type="none"/>
              </v:rect>
            </w:pict>
          </mc:Fallback>
        </mc:AlternateContent>
      </w:r>
    </w:p>
    <w:p>
      <w:pPr>
        <w:pStyle w:val="TextBody"/>
        <w:bidi w:val="0"/>
        <w:spacing w:lineRule="auto" w:line="288" w:before="0" w:after="60"/>
        <w:jc w:val="left"/>
        <w:rPr/>
      </w:pPr>
      <w:hyperlink w:anchor="i86ce94018fb640d7903f0edbc68bd8af_7">
        <w:r>
          <w:rPr>
            <w:rStyle w:val="InternetLink"/>
            <w:rFonts w:ascii="Open Sans;sans-serif" w:hAnsi="Open Sans;sans-serif"/>
            <w:b w:val="false"/>
            <w:color w:val="0000FF"/>
            <w:sz w:val="18"/>
            <w:u w:val="single"/>
          </w:rPr>
          <w:t>Table of Contents</w:t>
        </w:r>
      </w:hyperlink>
    </w:p>
    <w:p>
      <w:pPr>
        <w:pStyle w:val="TextBody"/>
        <w:bidi w:val="0"/>
        <w:spacing w:before="0" w:after="0"/>
        <w:jc w:val="center"/>
        <w:rPr/>
      </w:pPr>
      <w:r>
        <w:rPr/>
      </w:r>
    </w:p>
    <w:p>
      <w:pPr>
        <w:pStyle w:val="TextBody"/>
        <w:bidi w:val="0"/>
        <w:spacing w:lineRule="auto" w:line="288" w:before="240" w:after="283"/>
        <w:jc w:val="center"/>
        <w:rPr>
          <w:rFonts w:ascii="Open Sans;sans-serif" w:hAnsi="Open Sans;sans-serif"/>
          <w:b/>
          <w:i/>
          <w:color w:val="000000"/>
          <w:sz w:val="20"/>
        </w:rPr>
      </w:pPr>
      <w:r>
        <w:rPr>
          <w:rFonts w:ascii="Open Sans;sans-serif" w:hAnsi="Open Sans;sans-serif"/>
          <w:b/>
          <w:i/>
          <w:color w:val="000000"/>
          <w:sz w:val="20"/>
        </w:rPr>
        <w:t>Use of Non-GAAP Financial Measures</w:t>
      </w:r>
    </w:p>
    <w:p>
      <w:pPr>
        <w:pStyle w:val="TextBody"/>
        <w:bidi w:val="0"/>
        <w:spacing w:lineRule="auto" w:line="288" w:before="240" w:after="283"/>
        <w:jc w:val="both"/>
        <w:rPr>
          <w:rFonts w:ascii="Open Sans;sans-serif" w:hAnsi="Open Sans;sans-serif"/>
          <w:b w:val="false"/>
          <w:color w:val="000000"/>
          <w:sz w:val="20"/>
        </w:rPr>
      </w:pPr>
      <w:r>
        <w:rPr>
          <w:rFonts w:ascii="Open Sans;sans-serif" w:hAnsi="Open Sans;sans-serif"/>
          <w:b w:val="false"/>
          <w:color w:val="000000"/>
          <w:sz w:val="20"/>
        </w:rPr>
        <w:t>Our non-GAAP measures have limitations as analytical tools and you should not consider them in isolation. These non-GAAP measures should not be viewed as a substitute for, or superior to, measures prepared in accordance with GAAP. In evaluating these non-GAAP measures, note that we will likely incur expenses in the future similar to the adjustments in the presentation of our non-GAAP measures set forth under “Key Operating Metric and Non-GAAP Financial Measures”. There are a number of key limitations related to the use of these non-GAAP measures compared to their most directly comparable GAAP measures including the following:</w:t>
      </w:r>
    </w:p>
    <w:p>
      <w:pPr>
        <w:pStyle w:val="TextBody"/>
        <w:bidi w:val="0"/>
        <w:spacing w:lineRule="auto" w:line="288" w:before="120" w:after="283"/>
        <w:ind w:left="0" w:right="0" w:hanging="360"/>
        <w:jc w:val="both"/>
        <w:rPr/>
      </w:pPr>
      <w:r>
        <w:rPr>
          <w:color w:val="000000"/>
        </w:rPr>
        <w:t>•</w:t>
      </w:r>
      <w:r>
        <w:rPr>
          <w:rFonts w:ascii="Open Sans;sans-serif" w:hAnsi="Open Sans;sans-serif"/>
          <w:b w:val="false"/>
          <w:color w:val="000000"/>
          <w:sz w:val="20"/>
        </w:rPr>
        <w:t>other companies, including companies in our industry, may calculate adjusted EBITDA and Adjusted operating expenses differently or not at all, limiting their usefulness as comparative measures;</w:t>
      </w:r>
    </w:p>
    <w:p>
      <w:pPr>
        <w:pStyle w:val="TextBody"/>
        <w:bidi w:val="0"/>
        <w:spacing w:lineRule="auto" w:line="288" w:before="120" w:after="283"/>
        <w:ind w:left="0" w:right="0" w:hanging="360"/>
        <w:jc w:val="both"/>
        <w:rPr/>
      </w:pPr>
      <w:r>
        <w:rPr>
          <w:color w:val="000000"/>
        </w:rPr>
        <w:t>•</w:t>
      </w:r>
      <w:r>
        <w:rPr>
          <w:rFonts w:ascii="Open Sans;sans-serif" w:hAnsi="Open Sans;sans-serif"/>
          <w:b w:val="false"/>
          <w:color w:val="000000"/>
          <w:sz w:val="20"/>
        </w:rPr>
        <w:t xml:space="preserve">although depreciation and amortization are non-cash charges, the assets being depreciated or amortized may require future replacement, and adjusted EBITDA does not reflect cash requirements for such replacements or new capital expenditures; and </w:t>
      </w:r>
    </w:p>
    <w:p>
      <w:pPr>
        <w:pStyle w:val="TextBody"/>
        <w:bidi w:val="0"/>
        <w:spacing w:lineRule="auto" w:line="288" w:before="120" w:after="283"/>
        <w:ind w:left="0" w:right="0" w:hanging="360"/>
        <w:jc w:val="both"/>
        <w:rPr/>
      </w:pPr>
      <w:r>
        <w:rPr>
          <w:color w:val="000000"/>
        </w:rPr>
        <w:t>•</w:t>
      </w:r>
      <w:r>
        <w:rPr>
          <w:rFonts w:ascii="Open Sans;sans-serif" w:hAnsi="Open Sans;sans-serif"/>
          <w:b w:val="false"/>
          <w:color w:val="000000"/>
          <w:sz w:val="20"/>
        </w:rPr>
        <w:t>adjusted EBITDA does not reflect the effect of income taxes that may represent a reduction in cash available to us.</w:t>
      </w:r>
    </w:p>
    <w:p>
      <w:pPr>
        <w:pStyle w:val="TextBody"/>
        <w:bidi w:val="0"/>
        <w:spacing w:lineRule="auto" w:line="288" w:before="120" w:after="120"/>
        <w:jc w:val="both"/>
        <w:rPr>
          <w:rFonts w:ascii="Open Sans;sans-serif" w:hAnsi="Open Sans;sans-serif"/>
          <w:b w:val="false"/>
          <w:color w:val="000000"/>
          <w:sz w:val="20"/>
        </w:rPr>
      </w:pPr>
      <w:r>
        <w:rPr>
          <w:rFonts w:ascii="Open Sans;sans-serif" w:hAnsi="Open Sans;sans-serif"/>
          <w:b w:val="false"/>
          <w:color w:val="000000"/>
          <w:sz w:val="20"/>
        </w:rPr>
        <w:t xml:space="preserve">We encourage investors to review the related GAAP financial measures and the reconciliation of the non-GAAP financial measures to their most directly comparable GAAP financial measures.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7955"/>
                <wp:effectExtent l="0" t="0" r="0" b="0"/>
                <wp:wrapNone/>
                <wp:docPr id="33" name="Frame33"/>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33</w:t>
                      </w:r>
                    </w:p>
                  </w:txbxContent>
                </v:textbox>
                <w10:wrap type="none"/>
              </v:rect>
            </w:pict>
          </mc:Fallback>
        </mc:AlternateContent>
      </w:r>
    </w:p>
    <w:p>
      <w:pPr>
        <w:pStyle w:val="TextBody"/>
        <w:bidi w:val="0"/>
        <w:spacing w:lineRule="auto" w:line="288" w:before="0" w:after="60"/>
        <w:jc w:val="left"/>
        <w:rPr/>
      </w:pPr>
      <w:hyperlink w:anchor="i86ce94018fb640d7903f0edbc68bd8af_7">
        <w:r>
          <w:rPr>
            <w:rStyle w:val="InternetLink"/>
            <w:rFonts w:ascii="Open Sans;sans-serif" w:hAnsi="Open Sans;sans-serif"/>
            <w:b w:val="false"/>
            <w:color w:val="0000FF"/>
            <w:sz w:val="18"/>
            <w:u w:val="single"/>
          </w:rPr>
          <w:t>Table of Contents</w:t>
        </w:r>
      </w:hyperlink>
    </w:p>
    <w:p>
      <w:pPr>
        <w:pStyle w:val="TextBody"/>
        <w:bidi w:val="0"/>
        <w:spacing w:before="0" w:after="0"/>
        <w:jc w:val="center"/>
        <w:rPr/>
      </w:pPr>
      <w:r>
        <w:rPr/>
      </w:r>
    </w:p>
    <w:p>
      <w:pPr>
        <w:pStyle w:val="TextBody"/>
        <w:bidi w:val="0"/>
        <w:spacing w:lineRule="auto" w:line="288" w:before="0" w:after="0"/>
        <w:jc w:val="both"/>
        <w:rPr>
          <w:rFonts w:ascii="Open Sans;sans-serif" w:hAnsi="Open Sans;sans-serif"/>
          <w:b w:val="false"/>
          <w:color w:val="000000"/>
          <w:sz w:val="20"/>
        </w:rPr>
      </w:pPr>
      <w:r>
        <w:rPr>
          <w:rFonts w:ascii="Open Sans;sans-serif" w:hAnsi="Open Sans;sans-serif"/>
          <w:b w:val="false"/>
          <w:color w:val="000000"/>
          <w:sz w:val="20"/>
        </w:rPr>
        <w:t>A reconciliation of Net income (loss) to adjusted EBITDA and GAAP operating expenses to Adjusted operating expenses for the periods presented is as follows:</w:t>
      </w:r>
    </w:p>
    <w:tbl>
      <w:tblPr>
        <w:tblW w:w="9702" w:type="dxa"/>
        <w:jc w:val="left"/>
        <w:tblInd w:w="0" w:type="dxa"/>
        <w:tblLayout w:type="fixed"/>
        <w:tblCellMar>
          <w:top w:w="28" w:type="dxa"/>
          <w:left w:w="28" w:type="dxa"/>
          <w:bottom w:w="28" w:type="dxa"/>
          <w:right w:w="28" w:type="dxa"/>
        </w:tblCellMar>
      </w:tblPr>
      <w:tblGrid>
        <w:gridCol w:w="2087"/>
        <w:gridCol w:w="1831"/>
        <w:gridCol w:w="1842"/>
        <w:gridCol w:w="109"/>
        <w:gridCol w:w="109"/>
        <w:gridCol w:w="109"/>
        <w:gridCol w:w="226"/>
        <w:gridCol w:w="946"/>
        <w:gridCol w:w="286"/>
        <w:gridCol w:w="109"/>
        <w:gridCol w:w="109"/>
        <w:gridCol w:w="109"/>
        <w:gridCol w:w="226"/>
        <w:gridCol w:w="946"/>
        <w:gridCol w:w="286"/>
        <w:gridCol w:w="109"/>
        <w:gridCol w:w="109"/>
        <w:gridCol w:w="154"/>
      </w:tblGrid>
      <w:tr>
        <w:trPr/>
        <w:tc>
          <w:tcPr>
            <w:tcW w:w="2087" w:type="dxa"/>
            <w:tcBorders/>
            <w:vAlign w:val="center"/>
          </w:tcPr>
          <w:p>
            <w:pPr>
              <w:pStyle w:val="TableContents"/>
              <w:bidi w:val="0"/>
              <w:spacing w:before="0" w:after="283"/>
              <w:jc w:val="left"/>
              <w:rPr>
                <w:sz w:val="4"/>
                <w:szCs w:val="4"/>
              </w:rPr>
            </w:pPr>
            <w:r>
              <w:rPr>
                <w:sz w:val="4"/>
                <w:szCs w:val="4"/>
              </w:rPr>
            </w:r>
          </w:p>
        </w:tc>
        <w:tc>
          <w:tcPr>
            <w:tcW w:w="1831" w:type="dxa"/>
            <w:tcBorders/>
            <w:vAlign w:val="center"/>
          </w:tcPr>
          <w:p>
            <w:pPr>
              <w:pStyle w:val="TableContents"/>
              <w:bidi w:val="0"/>
              <w:spacing w:before="0" w:after="283"/>
              <w:jc w:val="left"/>
              <w:rPr>
                <w:sz w:val="4"/>
                <w:szCs w:val="4"/>
              </w:rPr>
            </w:pPr>
            <w:r>
              <w:rPr>
                <w:sz w:val="4"/>
                <w:szCs w:val="4"/>
              </w:rPr>
            </w:r>
          </w:p>
        </w:tc>
        <w:tc>
          <w:tcPr>
            <w:tcW w:w="18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i/>
                <w:color w:val="000000"/>
                <w:sz w:val="16"/>
              </w:rPr>
            </w:pPr>
            <w:r>
              <w:rPr>
                <w:rFonts w:ascii="Open Sans;sans-serif" w:hAnsi="Open Sans;sans-serif"/>
                <w:b w:val="false"/>
                <w:i/>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Net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165,798 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139,073 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7,834 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(8,260)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Net income (loss)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(6)</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115,498 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117,217 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7,834 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(8,260)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Share-based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20,017 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25,915 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Depreciation and amortization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8,854 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5,331 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Open Sans;sans-serif" w:hAnsi="Open Sans;sans-serif"/>
                <w:b w:val="false"/>
                <w:color w:val="000000"/>
                <w:sz w:val="20"/>
              </w:rPr>
              <w:t xml:space="preserve">Restructuring and other one-time costs </w:t>
            </w:r>
            <w:r>
              <w:rPr>
                <w:rFonts w:ascii="Open Sans;sans-serif" w:hAnsi="Open Sans;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841 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2,358 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Payroll tax expense related to share-based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820 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777 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Open Sans;sans-serif" w:hAnsi="Open Sans;sans-serif"/>
                <w:b w:val="false"/>
                <w:color w:val="000000"/>
                <w:sz w:val="20"/>
              </w:rPr>
              <w:t xml:space="preserve">Acquisition-related expenses </w:t>
            </w:r>
            <w:r>
              <w:rPr>
                <w:rFonts w:ascii="Open Sans;sans-serif" w:hAnsi="Open Sans;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712 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4,238 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Other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(5,933)</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(10,513)</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193 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235 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33,338 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20,081 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Adjusted EBITDA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20 </w:t>
            </w:r>
          </w:p>
        </w:tc>
        <w:tc>
          <w:tcPr>
            <w:tcW w:w="28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14 </w:t>
            </w:r>
          </w:p>
        </w:tc>
        <w:tc>
          <w:tcPr>
            <w:tcW w:w="28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115,498 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117,217 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 xml:space="preserve">Share-based compensation expense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(20,017)</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(25,915)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Depreciation and amortization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(8,854)</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(5,331)</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Open Sans;sans-serif" w:hAnsi="Open Sans;sans-serif"/>
                <w:b w:val="false"/>
                <w:color w:val="000000"/>
                <w:sz w:val="20"/>
              </w:rPr>
              <w:t xml:space="preserve">Restructuring and other one-time costs </w:t>
            </w:r>
            <w:r>
              <w:rPr>
                <w:rFonts w:ascii="Open Sans;sans-serif" w:hAnsi="Open Sans;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(841)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(2,358)</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Payroll tax expense related to share-based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(820)</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(777)</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Open Sans;sans-serif" w:hAnsi="Open Sans;sans-serif"/>
                <w:b w:val="false"/>
                <w:color w:val="000000"/>
                <w:sz w:val="20"/>
              </w:rPr>
              <w:t>Acquisition-related expenses</w:t>
            </w:r>
            <w:r>
              <w:rPr>
                <w:color w:val="000000"/>
              </w:rPr>
              <w:t xml:space="preserve"> </w:t>
            </w:r>
            <w:r>
              <w:rPr>
                <w:rFonts w:ascii="Open Sans;sans-serif" w:hAnsi="Open Sans;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(712)</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(4,238)</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Adjusted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84,254 </w:t>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78,598 </w:t>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both"/>
        <w:rPr>
          <w:rFonts w:ascii="Open Sans;sans-serif" w:hAnsi="Open Sans;sans-serif"/>
          <w:b w:val="false"/>
          <w:color w:val="000000"/>
          <w:sz w:val="16"/>
        </w:rPr>
      </w:pPr>
      <w:r>
        <w:rPr>
          <w:rFonts w:ascii="Open Sans;sans-serif" w:hAnsi="Open Sans;sans-serif"/>
          <w:b w:val="false"/>
          <w:color w:val="000000"/>
          <w:sz w:val="16"/>
        </w:rPr>
        <w:t>(1) Restructuring and other one-time costs include the costs associated with the transition of our former CEO and other one-time costs related to retention bonuses provided to other key employees. These bonuses have service requirements and are expensed over the requisite service period.</w:t>
      </w:r>
    </w:p>
    <w:p>
      <w:pPr>
        <w:pStyle w:val="TextBody"/>
        <w:bidi w:val="0"/>
        <w:spacing w:lineRule="auto" w:line="288" w:before="60" w:after="283"/>
        <w:jc w:val="both"/>
        <w:rPr>
          <w:rFonts w:ascii="Open Sans;sans-serif" w:hAnsi="Open Sans;sans-serif"/>
          <w:b w:val="false"/>
          <w:color w:val="000000"/>
          <w:sz w:val="16"/>
        </w:rPr>
      </w:pPr>
      <w:r>
        <w:rPr>
          <w:rFonts w:ascii="Open Sans;sans-serif" w:hAnsi="Open Sans;sans-serif"/>
          <w:b w:val="false"/>
          <w:color w:val="000000"/>
          <w:sz w:val="16"/>
        </w:rPr>
        <w:t>(2) Acquisition-related expenses, which include transaction costs, integration costs and cash and non-cash postcombination compensation expense, have been excluded from adjusted EBITDA as such expenses are not reflective of our ongoing core operations and are not representative of the ongoing costs necessary to operate our business; instead, these are costs specifically associated with a discrete transaction.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Open Sans;sans-serif" w:hAnsi="Open Sans;sans-serif"/>
          <w:b/>
          <w:color w:val="000000"/>
          <w:sz w:val="20"/>
        </w:rPr>
      </w:pPr>
      <w:r>
        <w:rPr>
          <w:rFonts w:ascii="Open Sans;sans-serif" w:hAnsi="Open Sans;sans-serif"/>
          <w:b/>
          <w:color w:val="000000"/>
          <w:sz w:val="20"/>
        </w:rPr>
        <w:t>Liquidity and Capital Resources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 xml:space="preserve">As of March 31, 2026, our primary sources of liquidity consisted of cash, cash equivalents, and short-term investments totaling $712.1 million, held primarily for working capital purposes. Our cash equivalents and short-term investments were comprised primarily of bank deposits, money market funds, U.S. treasury bills, U.S. treasury securities, asset-backed securities, commercial paper, certificates of deposit, and corporate debt securities. We have historically incurred significant operating losses, as reflected in our accumulated deficit. We believe our existing cash and cash equivalents and our short-term investments will be sufficient to meet our working capital and capital expenditure needs for more than the next 12 months. As of the date of filing this Quarterly Report on Form 10-Q, we have access to and control over all our cash, cash equivalents, and short-term investments, with the exception of restricted cash. The majority of our restricted cash amounts are held solely for safeguarding customer funds in connection with TransactPay’s card and e-money wallet programs, and are not available for our general corporate purposes or operations. </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 xml:space="preserve">Our Board of Directors has periodically authorized share repurchase programs for repurchases of shares of our Class A common stock, including most recently on December 4, 2025, when our Board of Directors authorized an additional share repurchase program of up to $100 million of the Company’s Class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7955"/>
                <wp:effectExtent l="0" t="0" r="0" b="0"/>
                <wp:wrapNone/>
                <wp:docPr id="34" name="Frame34"/>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34</w:t>
                      </w:r>
                    </w:p>
                  </w:txbxContent>
                </v:textbox>
                <w10:wrap type="none"/>
              </v:rect>
            </w:pict>
          </mc:Fallback>
        </mc:AlternateContent>
      </w:r>
    </w:p>
    <w:p>
      <w:pPr>
        <w:pStyle w:val="TextBody"/>
        <w:bidi w:val="0"/>
        <w:spacing w:lineRule="auto" w:line="288" w:before="0" w:after="60"/>
        <w:jc w:val="left"/>
        <w:rPr/>
      </w:pPr>
      <w:hyperlink w:anchor="i86ce94018fb640d7903f0edbc68bd8af_7">
        <w:r>
          <w:rPr>
            <w:rStyle w:val="InternetLink"/>
            <w:rFonts w:ascii="Open Sans;sans-serif" w:hAnsi="Open Sans;sans-serif"/>
            <w:b w:val="false"/>
            <w:color w:val="0000FF"/>
            <w:sz w:val="18"/>
            <w:u w:val="single"/>
          </w:rPr>
          <w:t>Table of Contents</w:t>
        </w:r>
      </w:hyperlink>
    </w:p>
    <w:p>
      <w:pPr>
        <w:pStyle w:val="TextBody"/>
        <w:bidi w:val="0"/>
        <w:spacing w:before="0" w:after="0"/>
        <w:jc w:val="center"/>
        <w:rPr/>
      </w:pPr>
      <w:r>
        <w:rPr/>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common stock (the “December 2025 Share Repurchase Program”). Under the December 2025 Share Repurchase Program, the Company is authorized to repurchase shares through open market purchases, in privately negotiated transactions, or by other means, in accordance with applicable federal securities laws, including through trading plans under Rule 10b5-1 of the Exchange Act. The number of shares repurchased and the timing of purchases are based on general business and market conditions, and other factors, including legal requirements. The December 2025 Share Repurchase Program has no set expiration date. As of March 31, 2026, $52.4 million remained available for future share repurchases under the December 2025 Share Repurchase Program.</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We believe our existing cash and cash equivalents, and short-term investments of $712.1 million as of March 31, 2026, will be sufficient to meet our working capital and capital expenditure needs for at least the next 12 months. As of the date of filing this Quarterly Report on Form 10-Q, we maintain full access to and control over all our cash, cash equivalents and short-term investments, except amounts held as restricted cash. Our future capital requirements will depend on many factors, such as continued investment in product development, platform infrastructure, share repurchases, potential strategic acquisitions, capital expenditures, and global expansion. We plan to allocate cash to support ongoing business investments, infrastructure enhancements, and non-cancellable purchase commitments with cloud-computing service providers and certain Issuing Banks.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As of March 31, 2026, we had $281.3 million in restricted cash, of which $280.3 million is related to the cash and cash equivalents held by TransactPay on behalf of its customers related to card and e-money wallet programs.</w:t>
      </w:r>
    </w:p>
    <w:p>
      <w:pPr>
        <w:pStyle w:val="TextBody"/>
        <w:bidi w:val="0"/>
        <w:spacing w:lineRule="auto" w:line="288" w:before="200" w:after="283"/>
        <w:jc w:val="both"/>
        <w:rPr>
          <w:rFonts w:ascii="Open Sans;sans-serif" w:hAnsi="Open Sans;sans-serif"/>
          <w:b/>
          <w:i/>
          <w:color w:val="000000"/>
          <w:sz w:val="20"/>
        </w:rPr>
      </w:pPr>
      <w:r>
        <w:rPr>
          <w:rFonts w:ascii="Open Sans;sans-serif" w:hAnsi="Open Sans;sans-serif"/>
          <w:b/>
          <w:i/>
          <w:color w:val="000000"/>
          <w:sz w:val="20"/>
        </w:rPr>
        <w:t>Cash Flows</w:t>
      </w:r>
    </w:p>
    <w:p>
      <w:pPr>
        <w:pStyle w:val="TextBody"/>
        <w:bidi w:val="0"/>
        <w:spacing w:lineRule="auto" w:line="288" w:before="120" w:after="283"/>
        <w:jc w:val="left"/>
        <w:rPr>
          <w:rFonts w:ascii="Open Sans;sans-serif" w:hAnsi="Open Sans;sans-serif"/>
          <w:b w:val="false"/>
          <w:color w:val="000000"/>
          <w:sz w:val="20"/>
        </w:rPr>
      </w:pPr>
      <w:r>
        <w:rPr>
          <w:rFonts w:ascii="Open Sans;sans-serif" w:hAnsi="Open Sans;sans-serif"/>
          <w:b w:val="false"/>
          <w:color w:val="000000"/>
          <w:sz w:val="20"/>
        </w:rPr>
        <w:t>The following table summarizes our cash flows for the periods indicated:</w:t>
      </w:r>
    </w:p>
    <w:tbl>
      <w:tblPr>
        <w:tblW w:w="8784" w:type="dxa"/>
        <w:jc w:val="left"/>
        <w:tblInd w:w="0" w:type="dxa"/>
        <w:tblLayout w:type="fixed"/>
        <w:tblCellMar>
          <w:top w:w="28" w:type="dxa"/>
          <w:left w:w="28" w:type="dxa"/>
          <w:bottom w:w="28" w:type="dxa"/>
          <w:right w:w="28" w:type="dxa"/>
        </w:tblCellMar>
      </w:tblPr>
      <w:tblGrid>
        <w:gridCol w:w="2142"/>
        <w:gridCol w:w="1878"/>
        <w:gridCol w:w="1890"/>
        <w:gridCol w:w="226"/>
        <w:gridCol w:w="916"/>
        <w:gridCol w:w="109"/>
        <w:gridCol w:w="109"/>
        <w:gridCol w:w="109"/>
        <w:gridCol w:w="109"/>
        <w:gridCol w:w="226"/>
        <w:gridCol w:w="916"/>
        <w:gridCol w:w="154"/>
      </w:tblGrid>
      <w:tr>
        <w:trPr/>
        <w:tc>
          <w:tcPr>
            <w:tcW w:w="2142" w:type="dxa"/>
            <w:tcBorders/>
            <w:vAlign w:val="center"/>
          </w:tcPr>
          <w:p>
            <w:pPr>
              <w:pStyle w:val="TableContents"/>
              <w:bidi w:val="0"/>
              <w:spacing w:before="0" w:after="283"/>
              <w:jc w:val="left"/>
              <w:rPr>
                <w:sz w:val="4"/>
                <w:szCs w:val="4"/>
              </w:rPr>
            </w:pPr>
            <w:r>
              <w:rPr>
                <w:sz w:val="4"/>
                <w:szCs w:val="4"/>
              </w:rPr>
            </w:r>
          </w:p>
        </w:tc>
        <w:tc>
          <w:tcPr>
            <w:tcW w:w="1878" w:type="dxa"/>
            <w:tcBorders/>
            <w:vAlign w:val="center"/>
          </w:tcPr>
          <w:p>
            <w:pPr>
              <w:pStyle w:val="TableContents"/>
              <w:bidi w:val="0"/>
              <w:spacing w:before="0" w:after="283"/>
              <w:jc w:val="left"/>
              <w:rPr>
                <w:sz w:val="4"/>
                <w:szCs w:val="4"/>
              </w:rPr>
            </w:pPr>
            <w:r>
              <w:rPr>
                <w:sz w:val="4"/>
                <w:szCs w:val="4"/>
              </w:rPr>
            </w:r>
          </w:p>
        </w:tc>
        <w:tc>
          <w:tcPr>
            <w:tcW w:w="189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Three Months Ended March 31,</w:t>
            </w:r>
          </w:p>
        </w:tc>
      </w:tr>
      <w:tr>
        <w:trPr/>
        <w:tc>
          <w:tcPr>
            <w:tcW w:w="5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2025</w:t>
            </w:r>
          </w:p>
        </w:tc>
      </w:tr>
      <w:tr>
        <w:trPr/>
        <w:tc>
          <w:tcPr>
            <w:tcW w:w="5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4"/>
              </w:rPr>
            </w:pPr>
            <w:r>
              <w:rPr>
                <w:rFonts w:ascii="Open Sans;sans-serif" w:hAnsi="Open Sans;sans-serif"/>
                <w:b/>
                <w:color w:val="000000"/>
                <w:sz w:val="14"/>
              </w:rPr>
              <w:t>(in thousands)</w:t>
            </w:r>
          </w:p>
        </w:tc>
      </w:tr>
      <w:tr>
        <w:trPr/>
        <w:tc>
          <w:tcPr>
            <w:tcW w:w="59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Net cash (used in) provided by operating activities</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(3,367)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9,987 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Net cash provided by investing activities</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16,057 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14,861 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Net cash used in financing activities</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(74,538)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(116,967)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Net decrease in cash, cash equivalents, and restricted cash</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(61,848)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(92,119)</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Open Sans;sans-serif" w:hAnsi="Open Sans;sans-serif"/>
          <w:b/>
          <w:i/>
          <w:color w:val="000000"/>
          <w:sz w:val="20"/>
        </w:rPr>
      </w:pPr>
      <w:r>
        <w:rPr>
          <w:rFonts w:ascii="Open Sans;sans-serif" w:hAnsi="Open Sans;sans-serif"/>
          <w:b/>
          <w:i/>
          <w:color w:val="000000"/>
          <w:sz w:val="20"/>
        </w:rPr>
        <w:t>Operating Activities</w:t>
      </w:r>
    </w:p>
    <w:p>
      <w:pPr>
        <w:pStyle w:val="TextBody"/>
        <w:bidi w:val="0"/>
        <w:spacing w:lineRule="auto" w:line="288" w:before="60" w:after="283"/>
        <w:jc w:val="both"/>
        <w:rPr>
          <w:rFonts w:ascii="Open Sans;sans-serif" w:hAnsi="Open Sans;sans-serif"/>
          <w:b w:val="false"/>
          <w:color w:val="000000"/>
          <w:sz w:val="20"/>
        </w:rPr>
      </w:pPr>
      <w:r>
        <w:rPr>
          <w:rFonts w:ascii="Open Sans;sans-serif" w:hAnsi="Open Sans;sans-serif"/>
          <w:b w:val="false"/>
          <w:color w:val="000000"/>
          <w:sz w:val="20"/>
        </w:rPr>
        <w:t>Our primary source of cash from operating activities is net revenue. The primary uses of cash in operating activities include Card Network and Issuing Bank fees and employee-related compensation. The timing of settlements of certain operating assets and liabilities, such as revenue share payments, bonus payments, prepayments to cloud-computing service providers, settlements receivable and network incentives receivable, may impact the amounts reported as net cash provided by or used in operating activities in the Condensed Consolidated Statements of Cash Flows.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 xml:space="preserve">Net cash used in operating activities was $3.4 million for the three months ended March 31, 2026, compared to net cash provided by operating activities of $10.0 million for the same period in 2025. The year-over-year change was primarily driven by unfavorable working capital timing, particularly related to network incentive receivables and settlement receivables, which was partially offset by higher gross profit and lower operating expenses and year-over-year growth in the revenue share payable. </w:t>
      </w:r>
    </w:p>
    <w:p>
      <w:pPr>
        <w:pStyle w:val="TextBody"/>
        <w:bidi w:val="0"/>
        <w:spacing w:lineRule="auto" w:line="288" w:before="240" w:after="283"/>
        <w:jc w:val="both"/>
        <w:rPr>
          <w:rFonts w:ascii="Open Sans;sans-serif" w:hAnsi="Open Sans;sans-serif"/>
          <w:b/>
          <w:i/>
          <w:color w:val="000000"/>
          <w:sz w:val="20"/>
        </w:rPr>
      </w:pPr>
      <w:r>
        <w:rPr>
          <w:rFonts w:ascii="Open Sans;sans-serif" w:hAnsi="Open Sans;sans-serif"/>
          <w:b/>
          <w:i/>
          <w:color w:val="000000"/>
          <w:sz w:val="20"/>
        </w:rPr>
        <w:t>Investing Activities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 xml:space="preserve">Net cash provided by investing activities primarily consists of proceeds from maturities of short-term investments, while net cash used in investing activities primarily includes purchases of short-term investments, purchases of property and equipment, capitalized costs for internal-use software development, and business combinations when they occur. </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 xml:space="preserve">Net cash provided by investing activities increased by $1.2 million to $16.1 million for the three months ended March 31, 2026, from $14.9 million in the same period in 2025. This increase was primarily due to additional proceeds from maturities of short-term investments, partially offset by additional investments in internal-use software.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7955"/>
                <wp:effectExtent l="0" t="0" r="0" b="0"/>
                <wp:wrapNone/>
                <wp:docPr id="35" name="Frame35"/>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35</w:t>
                      </w:r>
                    </w:p>
                  </w:txbxContent>
                </v:textbox>
                <w10:wrap type="none"/>
              </v:rect>
            </w:pict>
          </mc:Fallback>
        </mc:AlternateContent>
      </w:r>
    </w:p>
    <w:p>
      <w:pPr>
        <w:pStyle w:val="TextBody"/>
        <w:bidi w:val="0"/>
        <w:spacing w:lineRule="auto" w:line="288" w:before="0" w:after="60"/>
        <w:jc w:val="left"/>
        <w:rPr/>
      </w:pPr>
      <w:hyperlink w:anchor="i86ce94018fb640d7903f0edbc68bd8af_7">
        <w:r>
          <w:rPr>
            <w:rStyle w:val="InternetLink"/>
            <w:rFonts w:ascii="Open Sans;sans-serif" w:hAnsi="Open Sans;sans-serif"/>
            <w:b w:val="false"/>
            <w:color w:val="0000FF"/>
            <w:sz w:val="18"/>
            <w:u w:val="single"/>
          </w:rPr>
          <w:t>Table of Contents</w:t>
        </w:r>
      </w:hyperlink>
    </w:p>
    <w:p>
      <w:pPr>
        <w:pStyle w:val="TextBody"/>
        <w:bidi w:val="0"/>
        <w:spacing w:before="0" w:after="0"/>
        <w:jc w:val="center"/>
        <w:rPr/>
      </w:pPr>
      <w:r>
        <w:rPr/>
      </w:r>
    </w:p>
    <w:p>
      <w:pPr>
        <w:pStyle w:val="TextBody"/>
        <w:bidi w:val="0"/>
        <w:spacing w:lineRule="auto" w:line="288" w:before="240" w:after="283"/>
        <w:jc w:val="both"/>
        <w:rPr>
          <w:rFonts w:ascii="Open Sans;sans-serif" w:hAnsi="Open Sans;sans-serif"/>
          <w:b/>
          <w:i/>
          <w:color w:val="000000"/>
          <w:sz w:val="20"/>
        </w:rPr>
      </w:pPr>
      <w:r>
        <w:rPr>
          <w:rFonts w:ascii="Open Sans;sans-serif" w:hAnsi="Open Sans;sans-serif"/>
          <w:b/>
          <w:i/>
          <w:color w:val="000000"/>
          <w:sz w:val="20"/>
        </w:rPr>
        <w:t>Financing Activities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Net cash used in financing activities consists primarily of net payments related to share-based compensation activities, our share repurchase programs and the net impact of funds payable and amounts owed to customers.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 xml:space="preserve">Net cash used in financing activities decreased to $74.5 million for the three months ended March 31, 2026, from $117.0 million in the same period in 2025. This decrease was primarily due to lower repurchases of our Class A common stock, partially offset by changes in funds payable and amounts due to customers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Open Sans;sans-serif" w:hAnsi="Open Sans;sans-serif"/>
          <w:b/>
          <w:color w:val="000000"/>
          <w:sz w:val="20"/>
        </w:rPr>
      </w:pPr>
      <w:r>
        <w:rPr>
          <w:rFonts w:ascii="Open Sans;sans-serif" w:hAnsi="Open Sans;sans-serif"/>
          <w:b/>
          <w:color w:val="000000"/>
          <w:sz w:val="20"/>
        </w:rPr>
        <w:t xml:space="preserve">Obligations and Other Commitments </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There have been no other material changes to our obligations and other commitments from those reported in our 2025 Annual Report.</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For additional information about our contractual obligations and other commitments, see Note 9 “Commitments and Contingencies” to our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Open Sans;sans-serif" w:hAnsi="Open Sans;sans-serif"/>
          <w:b/>
          <w:color w:val="000000"/>
          <w:sz w:val="20"/>
        </w:rPr>
      </w:pPr>
      <w:r>
        <w:rPr>
          <w:rFonts w:ascii="Open Sans;sans-serif" w:hAnsi="Open Sans;sans-serif"/>
          <w:b/>
          <w:color w:val="000000"/>
          <w:sz w:val="20"/>
        </w:rPr>
        <w:t xml:space="preserve">Critical Accounting Policies and Estimates </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Our Condensed Consolidated Financial Statements are prepared in accordance with GAAP. The preparation of these Condensed Consolidated Financial Statements requires us to make estimates and assumptions that affect the reported amounts of assets, liabilities, revenue, costs, and expenses, and the related disclosures. On an ongoing basis, we evaluate our accounting estimates and assumptions. Our actual results may differ from these estimates under different assumptions or conditions.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There have been no material changes to our critical accounting policies and estimates described in “Management's Discussion and Analysis of Financial Condition and Results of Operations” set forth in our 2025 Annual Report.</w:t>
      </w:r>
    </w:p>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7955"/>
                <wp:effectExtent l="0" t="0" r="0" b="0"/>
                <wp:wrapNone/>
                <wp:docPr id="36" name="Frame36"/>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36</w:t>
                      </w:r>
                    </w:p>
                  </w:txbxContent>
                </v:textbox>
                <w10:wrap type="none"/>
              </v:rect>
            </w:pict>
          </mc:Fallback>
        </mc:AlternateContent>
      </w:r>
    </w:p>
    <w:p>
      <w:pPr>
        <w:pStyle w:val="TextBody"/>
        <w:bidi w:val="0"/>
        <w:spacing w:lineRule="auto" w:line="288" w:before="0" w:after="60"/>
        <w:jc w:val="left"/>
        <w:rPr/>
      </w:pPr>
      <w:hyperlink w:anchor="i86ce94018fb640d7903f0edbc68bd8af_7">
        <w:r>
          <w:rPr>
            <w:rStyle w:val="InternetLink"/>
            <w:rFonts w:ascii="Open Sans;sans-serif" w:hAnsi="Open Sans;sans-serif"/>
            <w:b w:val="false"/>
            <w:color w:val="0000FF"/>
            <w:sz w:val="18"/>
            <w:u w:val="single"/>
          </w:rPr>
          <w:t>Table of Contents</w:t>
        </w:r>
      </w:hyperlink>
    </w:p>
    <w:p>
      <w:pPr>
        <w:pStyle w:val="TextBody"/>
        <w:bidi w:val="0"/>
        <w:spacing w:before="0" w:after="0"/>
        <w:jc w:val="center"/>
        <w:rPr/>
      </w:pPr>
      <w:r>
        <w:rPr/>
      </w:r>
    </w:p>
    <w:p>
      <w:pPr>
        <w:pStyle w:val="TextBody"/>
        <w:bidi w:val="0"/>
        <w:spacing w:lineRule="auto" w:line="288" w:before="360" w:after="283"/>
        <w:jc w:val="left"/>
        <w:rPr>
          <w:rFonts w:ascii="Open Sans;sans-serif" w:hAnsi="Open Sans;sans-serif"/>
          <w:b/>
          <w:color w:val="231F20"/>
          <w:sz w:val="20"/>
        </w:rPr>
      </w:pPr>
      <w:r>
        <w:rPr>
          <w:rFonts w:ascii="Open Sans;sans-serif" w:hAnsi="Open Sans;sans-serif"/>
          <w:b/>
          <w:color w:val="231F20"/>
          <w:sz w:val="20"/>
        </w:rPr>
        <w:t>Item 3. Quantitative and Qualitative Disclosures about Market Risk</w:t>
      </w:r>
    </w:p>
    <w:p>
      <w:pPr>
        <w:pStyle w:val="TextBody"/>
        <w:bidi w:val="0"/>
        <w:spacing w:lineRule="auto" w:line="288" w:before="120" w:after="283"/>
        <w:jc w:val="both"/>
        <w:rPr/>
      </w:pPr>
      <w:r>
        <w:rPr>
          <w:rFonts w:ascii="Open Sans;sans-serif" w:hAnsi="Open Sans;sans-serif"/>
          <w:b w:val="false"/>
          <w:color w:val="000000"/>
          <w:sz w:val="20"/>
        </w:rPr>
        <w:t>We</w:t>
      </w:r>
      <w:r>
        <w:rPr>
          <w:color w:val="231F20"/>
        </w:rPr>
        <w:t xml:space="preserve"> </w:t>
      </w:r>
      <w:r>
        <w:rPr>
          <w:rFonts w:ascii="Open Sans;sans-serif" w:hAnsi="Open Sans;sans-serif"/>
          <w:b w:val="false"/>
          <w:color w:val="231F20"/>
          <w:sz w:val="20"/>
        </w:rPr>
        <w:t>have operations within the United States and globally, and are exposed to market risks in the ordinary course of our business. Information relating to quantitative and qualitative disclosures about these market risks is described below.</w:t>
      </w:r>
    </w:p>
    <w:p>
      <w:pPr>
        <w:pStyle w:val="TextBody"/>
        <w:bidi w:val="0"/>
        <w:spacing w:lineRule="auto" w:line="288" w:before="120" w:after="283"/>
        <w:jc w:val="both"/>
        <w:rPr>
          <w:rFonts w:ascii="Open Sans;sans-serif" w:hAnsi="Open Sans;sans-serif"/>
          <w:b/>
          <w:i/>
          <w:color w:val="231F20"/>
          <w:sz w:val="20"/>
        </w:rPr>
      </w:pPr>
      <w:r>
        <w:rPr>
          <w:rFonts w:ascii="Open Sans;sans-serif" w:hAnsi="Open Sans;sans-serif"/>
          <w:b/>
          <w:i/>
          <w:color w:val="231F20"/>
          <w:sz w:val="20"/>
        </w:rPr>
        <w:t>Interest Rate Risk</w:t>
      </w:r>
    </w:p>
    <w:p>
      <w:pPr>
        <w:pStyle w:val="TextBody"/>
        <w:bidi w:val="0"/>
        <w:spacing w:lineRule="auto" w:line="288" w:before="120" w:after="283"/>
        <w:jc w:val="both"/>
        <w:rPr/>
      </w:pPr>
      <w:r>
        <w:rPr>
          <w:rFonts w:ascii="Open Sans;sans-serif" w:hAnsi="Open Sans;sans-serif"/>
          <w:b w:val="false"/>
          <w:color w:val="231F20"/>
          <w:sz w:val="20"/>
        </w:rPr>
        <w:t>As of March 31, 2026, our cash, cash equivalents, and short-term investments totaled $712.1 million, comprising cash deposits, money market funds, U.S. treasury bills, U.S. treasury securities, commercial paper, certificates of deposits, asset-backed securities and corporate debt securities. The fair value of these holdings would not be significantly impacted by interest rate fluctuations due to their short-term maturities. Because we classify our short-term investments as “available-for-sale”</w:t>
      </w:r>
      <w:r>
        <w:rPr>
          <w:rFonts w:ascii="Open Sans;sans-serif" w:hAnsi="Open Sans;sans-serif"/>
          <w:b w:val="false"/>
          <w:color w:val="000000"/>
          <w:sz w:val="20"/>
        </w:rPr>
        <w:t xml:space="preserve">, </w:t>
      </w:r>
      <w:r>
        <w:rPr>
          <w:rFonts w:ascii="Open Sans;sans-serif" w:hAnsi="Open Sans;sans-serif"/>
          <w:b w:val="false"/>
          <w:color w:val="231F20"/>
          <w:sz w:val="20"/>
        </w:rPr>
        <w:t>no gains or losses are recognized in the Condensed Consolidated Statements of Operations and Comprehensive Income (Loss) due to changes in interest rates unless such securities are sold prior to maturity or declines in fair value are due to credit losses. We have the ability and intent to hold all short-term investments until maturity. A hypothetical 100 basis point increase or decrease in interest rates would not have a material effect on our financial results or condition.</w:t>
      </w:r>
    </w:p>
    <w:p>
      <w:pPr>
        <w:pStyle w:val="TextBody"/>
        <w:bidi w:val="0"/>
        <w:spacing w:lineRule="auto" w:line="288" w:before="120" w:after="283"/>
        <w:jc w:val="both"/>
        <w:rPr>
          <w:rFonts w:ascii="Open Sans;sans-serif" w:hAnsi="Open Sans;sans-serif"/>
          <w:b/>
          <w:i/>
          <w:color w:val="231F20"/>
          <w:sz w:val="20"/>
        </w:rPr>
      </w:pPr>
      <w:r>
        <w:rPr>
          <w:rFonts w:ascii="Open Sans;sans-serif" w:hAnsi="Open Sans;sans-serif"/>
          <w:b/>
          <w:i/>
          <w:color w:val="231F20"/>
          <w:sz w:val="20"/>
        </w:rPr>
        <w:t>Foreign Currency Exchange Risk</w:t>
      </w:r>
    </w:p>
    <w:p>
      <w:pPr>
        <w:pStyle w:val="TextBody"/>
        <w:bidi w:val="0"/>
        <w:spacing w:lineRule="auto" w:line="288" w:before="120" w:after="283"/>
        <w:jc w:val="both"/>
        <w:rPr/>
      </w:pPr>
      <w:r>
        <w:rPr>
          <w:rFonts w:ascii="Open Sans;sans-serif" w:hAnsi="Open Sans;sans-serif"/>
          <w:b w:val="false"/>
          <w:color w:val="000000"/>
          <w:sz w:val="20"/>
        </w:rPr>
        <w:t>Most</w:t>
      </w:r>
      <w:r>
        <w:rPr>
          <w:color w:val="231F20"/>
        </w:rPr>
        <w:t xml:space="preserve"> </w:t>
      </w:r>
      <w:r>
        <w:rPr>
          <w:rFonts w:ascii="Open Sans;sans-serif" w:hAnsi="Open Sans;sans-serif"/>
          <w:b w:val="false"/>
          <w:color w:val="231F20"/>
          <w:sz w:val="20"/>
        </w:rPr>
        <w:t>of our sales and operating expenses are denominated in U.S. dollars, and therefore our results of operations are not currently subject to significant foreign currency risk. As of March 31, 2026, a hypothetical 10% change in foreign currency exchange rates applicable to our business would not have had a material impact on our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7955"/>
                <wp:effectExtent l="0" t="0" r="0" b="0"/>
                <wp:wrapNone/>
                <wp:docPr id="37" name="Frame37"/>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37</w:t>
                      </w:r>
                    </w:p>
                  </w:txbxContent>
                </v:textbox>
                <w10:wrap type="none"/>
              </v:rect>
            </w:pict>
          </mc:Fallback>
        </mc:AlternateContent>
      </w:r>
    </w:p>
    <w:p>
      <w:pPr>
        <w:pStyle w:val="TextBody"/>
        <w:bidi w:val="0"/>
        <w:spacing w:lineRule="auto" w:line="288" w:before="0" w:after="60"/>
        <w:jc w:val="left"/>
        <w:rPr/>
      </w:pPr>
      <w:hyperlink w:anchor="i86ce94018fb640d7903f0edbc68bd8af_7">
        <w:r>
          <w:rPr>
            <w:rStyle w:val="InternetLink"/>
            <w:rFonts w:ascii="Open Sans;sans-serif" w:hAnsi="Open Sans;sans-serif"/>
            <w:b w:val="false"/>
            <w:color w:val="0000FF"/>
            <w:sz w:val="18"/>
            <w:u w:val="single"/>
          </w:rPr>
          <w:t>Table of Contents</w:t>
        </w:r>
      </w:hyperlink>
    </w:p>
    <w:p>
      <w:pPr>
        <w:pStyle w:val="TextBody"/>
        <w:bidi w:val="0"/>
        <w:spacing w:before="0" w:after="0"/>
        <w:jc w:val="center"/>
        <w:rPr/>
      </w:pPr>
      <w:r>
        <w:rPr/>
      </w:r>
    </w:p>
    <w:p>
      <w:pPr>
        <w:pStyle w:val="TextBody"/>
        <w:bidi w:val="0"/>
        <w:spacing w:lineRule="auto" w:line="288" w:before="360" w:after="283"/>
        <w:jc w:val="left"/>
        <w:rPr>
          <w:rFonts w:ascii="Open Sans;sans-serif" w:hAnsi="Open Sans;sans-serif"/>
          <w:b/>
          <w:color w:val="231F20"/>
          <w:sz w:val="20"/>
        </w:rPr>
      </w:pPr>
      <w:r>
        <w:rPr>
          <w:rFonts w:ascii="Open Sans;sans-serif" w:hAnsi="Open Sans;sans-serif"/>
          <w:b/>
          <w:color w:val="231F20"/>
          <w:sz w:val="20"/>
        </w:rPr>
        <w:t>Item 4. Controls and Procedures</w:t>
      </w:r>
    </w:p>
    <w:p>
      <w:pPr>
        <w:pStyle w:val="TextBody"/>
        <w:bidi w:val="0"/>
        <w:spacing w:lineRule="auto" w:line="288" w:before="120" w:after="283"/>
        <w:jc w:val="both"/>
        <w:rPr>
          <w:rFonts w:ascii="Open Sans;sans-serif" w:hAnsi="Open Sans;sans-serif"/>
          <w:b/>
          <w:i/>
          <w:color w:val="000000"/>
          <w:sz w:val="20"/>
        </w:rPr>
      </w:pPr>
      <w:r>
        <w:rPr>
          <w:rFonts w:ascii="Open Sans;sans-serif" w:hAnsi="Open Sans;sans-serif"/>
          <w:b/>
          <w:i/>
          <w:color w:val="000000"/>
          <w:sz w:val="20"/>
        </w:rPr>
        <w:t>Evaluation of Disclosure Controls and Procedures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 xml:space="preserve">Our management, with the participation of our Chief Executive Officer and Chief Financial Officer, has evaluated the effectiveness of our disclosure controls and procedures as defined in Rules 13a-15(e) and 15d-15(e) under the Exchange Act as of the end of the period covered by this Quarterly Report on Form 10-Q. Disclosure controls and procedures are designed to provide reasonable assurance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w:t>
      </w:r>
    </w:p>
    <w:p>
      <w:pPr>
        <w:pStyle w:val="TextBody"/>
        <w:bidi w:val="0"/>
        <w:spacing w:lineRule="auto" w:line="288" w:before="120" w:after="283"/>
        <w:jc w:val="both"/>
        <w:rPr/>
      </w:pPr>
      <w:r>
        <w:rPr>
          <w:rFonts w:ascii="Open Sans;sans-serif" w:hAnsi="Open Sans;sans-serif"/>
          <w:b w:val="false"/>
          <w:color w:val="000000"/>
          <w:sz w:val="20"/>
        </w:rPr>
        <w:t xml:space="preserve">Based on such evaluation, our management has concluded our disclosure controls and procedures were effective at a reasonable assurance level as of </w:t>
      </w:r>
      <w:r>
        <w:rPr>
          <w:rFonts w:ascii="Open Sans;sans-serif" w:hAnsi="Open Sans;sans-serif"/>
          <w:b w:val="false"/>
          <w:color w:val="231F20"/>
          <w:sz w:val="20"/>
        </w:rPr>
        <w:t>March 31, 2026</w:t>
      </w:r>
      <w:r>
        <w:rPr>
          <w:rFonts w:ascii="Open Sans;sans-serif" w:hAnsi="Open Sans;sans-serif"/>
          <w:b w:val="false"/>
          <w:color w:val="000000"/>
          <w:sz w:val="20"/>
        </w:rPr>
        <w:t xml:space="preserve">. </w:t>
      </w:r>
    </w:p>
    <w:p>
      <w:pPr>
        <w:pStyle w:val="TextBody"/>
        <w:bidi w:val="0"/>
        <w:spacing w:lineRule="auto" w:line="288" w:before="240" w:after="283"/>
        <w:jc w:val="both"/>
        <w:rPr>
          <w:rFonts w:ascii="Open Sans;sans-serif" w:hAnsi="Open Sans;sans-serif"/>
          <w:b/>
          <w:i/>
          <w:color w:val="000000"/>
          <w:sz w:val="20"/>
        </w:rPr>
      </w:pPr>
      <w:r>
        <w:rPr>
          <w:rFonts w:ascii="Open Sans;sans-serif" w:hAnsi="Open Sans;sans-serif"/>
          <w:b/>
          <w:i/>
          <w:color w:val="000000"/>
          <w:sz w:val="20"/>
        </w:rPr>
        <w:t>Changes in Internal Control Over Financial Reporting</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 xml:space="preserve">In connection with the acquisition of TransactPay, the Company continues to review its internal controls and is implementing changes as deemed necessary. While we are in the process of implementing controls related to the ongoing integration of TransactPay, there have been no changes in the Company’s internal control over financial reporting (as such term is defined in Rules 13a-15(f) and 15d-15(f) under the Exchange Act) during the first quarter of fiscal 2026 that have materially affected, or are reasonably likely to materially affect, the Company’s internal control over financial reporting. </w:t>
      </w:r>
    </w:p>
    <w:p>
      <w:pPr>
        <w:pStyle w:val="TextBody"/>
        <w:bidi w:val="0"/>
        <w:spacing w:lineRule="auto" w:line="288" w:before="240" w:after="283"/>
        <w:jc w:val="both"/>
        <w:rPr>
          <w:rFonts w:ascii="Open Sans;sans-serif" w:hAnsi="Open Sans;sans-serif"/>
          <w:b/>
          <w:i/>
          <w:color w:val="000000"/>
          <w:sz w:val="20"/>
        </w:rPr>
      </w:pPr>
      <w:r>
        <w:rPr>
          <w:rFonts w:ascii="Open Sans;sans-serif" w:hAnsi="Open Sans;sans-serif"/>
          <w:b/>
          <w:i/>
          <w:color w:val="000000"/>
          <w:sz w:val="20"/>
        </w:rPr>
        <w:t>Limitations on Effectiveness of Controls and Procedures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The effectiveness of any internal control over financial reporting is subject to inherent limitations, including the exercise of judgment in designing, implementing, operating, and evaluating the controls and procedures, and the inability to eliminate misconduct completely. Accordingly, any system of internal control over financial reporting, no matter how well designed and operated, can only provide reasonable, not absolute assurance that its objectives will be met. In addition,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cannot assure you that such improvements will be sufficient to provide us with effective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7955"/>
                <wp:effectExtent l="0" t="0" r="0" b="0"/>
                <wp:wrapNone/>
                <wp:docPr id="38" name="Frame38"/>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38</w:t>
                      </w:r>
                    </w:p>
                  </w:txbxContent>
                </v:textbox>
                <w10:wrap type="none"/>
              </v:rect>
            </w:pict>
          </mc:Fallback>
        </mc:AlternateContent>
      </w:r>
    </w:p>
    <w:p>
      <w:pPr>
        <w:pStyle w:val="TextBody"/>
        <w:bidi w:val="0"/>
        <w:spacing w:lineRule="auto" w:line="288" w:before="0" w:after="60"/>
        <w:jc w:val="left"/>
        <w:rPr/>
      </w:pPr>
      <w:hyperlink w:anchor="i86ce94018fb640d7903f0edbc68bd8af_7">
        <w:r>
          <w:rPr>
            <w:rStyle w:val="InternetLink"/>
            <w:rFonts w:ascii="Open Sans;sans-serif" w:hAnsi="Open Sans;sans-serif"/>
            <w:b w:val="false"/>
            <w:color w:val="0000FF"/>
            <w:sz w:val="18"/>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Open Sans;sans-serif" w:hAnsi="Open Sans;sans-serif"/>
          <w:b/>
          <w:color w:val="231F20"/>
          <w:sz w:val="20"/>
        </w:rPr>
      </w:pPr>
      <w:r>
        <w:rPr>
          <w:rFonts w:ascii="Open Sans;sans-serif" w:hAnsi="Open Sans;sans-serif"/>
          <w:b/>
          <w:color w:val="231F2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Open Sans;sans-serif" w:hAnsi="Open Sans;sans-serif"/>
          <w:b/>
          <w:color w:val="231F20"/>
          <w:sz w:val="20"/>
        </w:rPr>
      </w:pPr>
      <w:r>
        <w:rPr>
          <w:rFonts w:ascii="Open Sans;sans-serif" w:hAnsi="Open Sans;sans-serif"/>
          <w:b/>
          <w:color w:val="231F20"/>
          <w:sz w:val="20"/>
        </w:rPr>
        <w:t>Item 1. Legal Proceedings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From time to time, we may be subject to legal proceedings and claims arising in the ordinary course of business. We are currently involved in the following matter:</w:t>
      </w:r>
    </w:p>
    <w:p>
      <w:pPr>
        <w:pStyle w:val="TextBody"/>
        <w:bidi w:val="0"/>
        <w:spacing w:lineRule="auto" w:line="288" w:before="120" w:after="283"/>
        <w:jc w:val="both"/>
        <w:rPr/>
      </w:pPr>
      <w:r>
        <w:rPr>
          <w:rFonts w:ascii="Open Sans;sans-serif" w:hAnsi="Open Sans;sans-serif"/>
          <w:b w:val="false"/>
          <w:color w:val="231F20"/>
          <w:sz w:val="20"/>
        </w:rPr>
        <w:t xml:space="preserve">On December 9, 2024, a putative securities class action lawsuit, captioned </w:t>
      </w:r>
      <w:r>
        <w:rPr>
          <w:rFonts w:ascii="Open Sans;sans-serif" w:hAnsi="Open Sans;sans-serif"/>
          <w:b w:val="false"/>
          <w:i/>
          <w:color w:val="231F20"/>
          <w:sz w:val="20"/>
        </w:rPr>
        <w:t>Wai v. Marqeta, Inc., et al.</w:t>
      </w:r>
      <w:r>
        <w:rPr>
          <w:rFonts w:ascii="Open Sans;sans-serif" w:hAnsi="Open Sans;sans-serif"/>
          <w:b w:val="false"/>
          <w:color w:val="231F20"/>
          <w:sz w:val="20"/>
        </w:rPr>
        <w:t xml:space="preserve">, Case No. 24-cv-08874 (N.D. Cal.), was filed in federal court in the Northern District of California (“Court”) against the Company and certain of its current and former officers (“Defendants”) alleging violations of federal securities laws. The lawsuit asserts that during the putative class period of between August 7, 2024 and November 4, 2024, Defendants made false or misleading statements relating to the Company’s performance or revenue and gross profit expectations in violation of Sections 10(b) and 20(a) of the Securities Exchange Act of 1934 and Rule 10b-5 promulgated thereunder. </w:t>
      </w:r>
    </w:p>
    <w:p>
      <w:pPr>
        <w:pStyle w:val="TextBody"/>
        <w:bidi w:val="0"/>
        <w:spacing w:lineRule="auto" w:line="288" w:before="120" w:after="283"/>
        <w:jc w:val="both"/>
        <w:rPr/>
      </w:pPr>
      <w:r>
        <w:rPr>
          <w:rFonts w:ascii="Open Sans;sans-serif" w:hAnsi="Open Sans;sans-serif"/>
          <w:b w:val="false"/>
          <w:color w:val="231F20"/>
          <w:sz w:val="20"/>
        </w:rPr>
        <w:t xml:space="preserve">On December 10, 2024, a second putative securities class action lawsuit, captioned </w:t>
      </w:r>
      <w:r>
        <w:rPr>
          <w:rFonts w:ascii="Open Sans;sans-serif" w:hAnsi="Open Sans;sans-serif"/>
          <w:b w:val="false"/>
          <w:i/>
          <w:color w:val="231F20"/>
          <w:sz w:val="20"/>
        </w:rPr>
        <w:t>Ford v. Marqeta, Inc., et al.</w:t>
      </w:r>
      <w:r>
        <w:rPr>
          <w:rFonts w:ascii="Open Sans;sans-serif" w:hAnsi="Open Sans;sans-serif"/>
          <w:b w:val="false"/>
          <w:color w:val="231F20"/>
          <w:sz w:val="20"/>
        </w:rPr>
        <w:t xml:space="preserve">, Case No. 24-cv-08892 (N.D. Cal.), was filed in the same Court against the same Defendants alleging violations of the same federal securities laws. The second lawsuit asserts similar theories of liability as the first lawsuit but alleges a broader putative class period of between May 7, 2024 and November 4, 2024 and some additional and/or different allegations on which the claims are based. Both lawsuits (collectively, the “Securities Actions”) seek to recover damages on behalf of shareholders who acquired shares of the Company’s common stock during their respective putative class periods. </w:t>
      </w:r>
      <w:r>
        <w:rPr>
          <w:rFonts w:ascii="Open Sans;sans-serif" w:hAnsi="Open Sans;sans-serif"/>
          <w:b w:val="false"/>
          <w:color w:val="000000"/>
          <w:sz w:val="20"/>
        </w:rPr>
        <w:t xml:space="preserve">The Securities Actions have been consolidated into one consolidated securities litigation captioned </w:t>
      </w:r>
      <w:r>
        <w:rPr>
          <w:rFonts w:ascii="Open Sans;sans-serif" w:hAnsi="Open Sans;sans-serif"/>
          <w:b w:val="false"/>
          <w:i/>
          <w:color w:val="000000"/>
          <w:sz w:val="20"/>
        </w:rPr>
        <w:t>In re Marqeta, Inc. Securities Litigation</w:t>
      </w:r>
      <w:r>
        <w:rPr>
          <w:rFonts w:ascii="Open Sans;sans-serif" w:hAnsi="Open Sans;sans-serif"/>
          <w:b w:val="false"/>
          <w:color w:val="000000"/>
          <w:sz w:val="20"/>
        </w:rPr>
        <w:t xml:space="preserve">, Case No. 24-08874-YGR (N.D. Cal) and the Court has appointed a lead plaintiff and lead plaintiff’s counsel in the matter. On April 10, 2025, the lead plaintiff filed a consolidated amended complaint, which alleges a putative class period of between February 28, 2024 and November 4, 2024. We and the other Defendants filed a motion to dismiss the consolidated amended complaint on May 15, 2025. </w:t>
      </w:r>
    </w:p>
    <w:p>
      <w:pPr>
        <w:pStyle w:val="TextBody"/>
        <w:bidi w:val="0"/>
        <w:spacing w:lineRule="auto" w:line="276" w:before="120" w:after="283"/>
        <w:jc w:val="both"/>
        <w:rPr>
          <w:rFonts w:ascii="Open Sans;sans-serif" w:hAnsi="Open Sans;sans-serif"/>
          <w:b w:val="false"/>
          <w:color w:val="000000"/>
          <w:sz w:val="20"/>
        </w:rPr>
      </w:pPr>
      <w:r>
        <w:rPr>
          <w:rFonts w:ascii="Open Sans;sans-serif" w:hAnsi="Open Sans;sans-serif"/>
          <w:b w:val="false"/>
          <w:color w:val="000000"/>
          <w:sz w:val="20"/>
        </w:rPr>
        <w:t>On November 3, 2025, a settlement was reached, in principle, with the lead plaintiff’s counsel to resolve the Securities Actions for payments totaling $13.0 million, subject to further documentation and judicial approvals. The Company’s Directors and Officers insurance policy includes a $5.0 million self-insured retention that applies to covered losses related to the Securities Actions, including legal defense fees and settlement payments. If finalized, the settlement will be funded by insurance less the self-insured retention.</w:t>
      </w:r>
    </w:p>
    <w:p>
      <w:pPr>
        <w:pStyle w:val="TextBody"/>
        <w:bidi w:val="0"/>
        <w:spacing w:lineRule="auto" w:line="288" w:before="120" w:after="283"/>
        <w:jc w:val="both"/>
        <w:rPr/>
      </w:pPr>
      <w:r>
        <w:rPr>
          <w:rFonts w:ascii="Open Sans;sans-serif" w:hAnsi="Open Sans;sans-serif"/>
          <w:b w:val="false"/>
          <w:color w:val="000000"/>
          <w:sz w:val="20"/>
        </w:rPr>
        <w:t>On February 4, 2025, a putative shareholder derivative lawsuit, capti</w:t>
      </w:r>
      <w:r>
        <w:rPr>
          <w:rFonts w:ascii="Open Sans;sans-serif" w:hAnsi="Open Sans;sans-serif"/>
          <w:b w:val="false"/>
          <w:color w:val="231F20"/>
          <w:sz w:val="20"/>
        </w:rPr>
        <w:t xml:space="preserve">oned </w:t>
      </w:r>
      <w:r>
        <w:rPr>
          <w:rFonts w:ascii="Open Sans;sans-serif" w:hAnsi="Open Sans;sans-serif"/>
          <w:b w:val="false"/>
          <w:i/>
          <w:color w:val="231F20"/>
          <w:sz w:val="20"/>
        </w:rPr>
        <w:t>Smith v. Khalaf, et al.</w:t>
      </w:r>
      <w:r>
        <w:rPr>
          <w:rFonts w:ascii="Open Sans;sans-serif" w:hAnsi="Open Sans;sans-serif"/>
          <w:b w:val="false"/>
          <w:color w:val="231F20"/>
          <w:sz w:val="20"/>
        </w:rPr>
        <w:t xml:space="preserve">, Case No. 25-cv-01174 (N.D. Cal.), was filed in the same Court against certain of the Company’s current and former officers and its Board of Directors (as then constituted), and named the Company as a nominal defendant. This lawsuit asserts claims for breach of fiduciary duties and violations of federal securities laws, among other claims, between the time period of May 7, 2024 and November 4, 2024 under similar theories as the Securities Actions. Two other substantially similar putative shareholder derivative lawsuits, captioned </w:t>
      </w:r>
      <w:r>
        <w:rPr>
          <w:rFonts w:ascii="Open Sans;sans-serif" w:hAnsi="Open Sans;sans-serif"/>
          <w:b w:val="false"/>
          <w:i/>
          <w:color w:val="231F20"/>
          <w:sz w:val="20"/>
        </w:rPr>
        <w:t>Ojserkis v. Khalaf, et al.</w:t>
      </w:r>
      <w:r>
        <w:rPr>
          <w:rFonts w:ascii="Open Sans;sans-serif" w:hAnsi="Open Sans;sans-serif"/>
          <w:b w:val="false"/>
          <w:color w:val="231F20"/>
          <w:sz w:val="20"/>
        </w:rPr>
        <w:t>, Case No. 25-cv-01883 (N.D. Cal.)</w:t>
      </w:r>
      <w:r>
        <w:rPr>
          <w:color w:val="000000"/>
        </w:rPr>
        <w:t xml:space="preserve"> </w:t>
      </w:r>
      <w:r>
        <w:rPr>
          <w:rFonts w:ascii="Open Sans;sans-serif" w:hAnsi="Open Sans;sans-serif"/>
          <w:b w:val="false"/>
          <w:color w:val="000000"/>
          <w:sz w:val="20"/>
        </w:rPr>
        <w:t xml:space="preserve">and </w:t>
      </w:r>
      <w:r>
        <w:rPr>
          <w:rFonts w:ascii="Open Sans;sans-serif" w:hAnsi="Open Sans;sans-serif"/>
          <w:b w:val="false"/>
          <w:i/>
          <w:color w:val="000000"/>
          <w:sz w:val="20"/>
        </w:rPr>
        <w:t>Preciado v. Khalaf, et al.</w:t>
      </w:r>
      <w:r>
        <w:rPr>
          <w:rFonts w:ascii="Open Sans;sans-serif" w:hAnsi="Open Sans;sans-serif"/>
          <w:b w:val="false"/>
          <w:color w:val="000000"/>
          <w:sz w:val="20"/>
        </w:rPr>
        <w:t>, Case No. 3:25-cv-02100 (N.D. Cal.)</w:t>
      </w:r>
      <w:r>
        <w:rPr>
          <w:color w:val="231F20"/>
        </w:rPr>
        <w:t xml:space="preserve"> </w:t>
      </w:r>
      <w:r>
        <w:rPr>
          <w:rFonts w:ascii="Open Sans;sans-serif" w:hAnsi="Open Sans;sans-serif"/>
          <w:b w:val="false"/>
          <w:color w:val="231F20"/>
          <w:sz w:val="20"/>
        </w:rPr>
        <w:t xml:space="preserve">were filed on February 21, 2025 and February 27, 2025, respectively. </w:t>
      </w:r>
      <w:r>
        <w:rPr>
          <w:rFonts w:ascii="Open Sans;sans-serif" w:hAnsi="Open Sans;sans-serif"/>
          <w:b w:val="false"/>
          <w:color w:val="000000"/>
          <w:sz w:val="20"/>
        </w:rPr>
        <w:t xml:space="preserve">All three putative shareholder derivative suits have been consolidated into one lawsuit captioned </w:t>
      </w:r>
      <w:r>
        <w:rPr>
          <w:rFonts w:ascii="Open Sans;sans-serif" w:hAnsi="Open Sans;sans-serif"/>
          <w:b w:val="false"/>
          <w:i/>
          <w:color w:val="000000"/>
          <w:sz w:val="20"/>
        </w:rPr>
        <w:t>In re Marqeta, Inc. Derivative Litigation</w:t>
      </w:r>
      <w:r>
        <w:rPr>
          <w:rFonts w:ascii="Open Sans;sans-serif" w:hAnsi="Open Sans;sans-serif"/>
          <w:b w:val="false"/>
          <w:color w:val="000000"/>
          <w:sz w:val="20"/>
        </w:rPr>
        <w:t>, Case No. 4:25-cv-01174-YGR (N.D. Cal). The consolidated derivative action is currently stayed pending developments in the consolidated Securities Actions.</w:t>
      </w:r>
    </w:p>
    <w:p>
      <w:pPr>
        <w:pStyle w:val="TextBody"/>
        <w:bidi w:val="0"/>
        <w:spacing w:lineRule="auto" w:line="288" w:before="120" w:after="283"/>
        <w:jc w:val="both"/>
        <w:rPr>
          <w:rFonts w:ascii="Open Sans;sans-serif" w:hAnsi="Open Sans;sans-serif"/>
          <w:b w:val="false"/>
          <w:color w:val="231F20"/>
          <w:sz w:val="20"/>
        </w:rPr>
      </w:pPr>
      <w:r>
        <w:rPr>
          <w:rFonts w:ascii="Open Sans;sans-serif" w:hAnsi="Open Sans;sans-serif"/>
          <w:b w:val="false"/>
          <w:color w:val="231F20"/>
          <w:sz w:val="20"/>
        </w:rPr>
        <w:t>Given the inherent uncertainty of litigation, the Company cannot reasonably estimate the likelihood of an unfavorable outcome or the amount or range of any potential loss.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Open Sans;sans-serif" w:hAnsi="Open Sans;sans-serif"/>
          <w:b/>
          <w:color w:val="231F20"/>
          <w:sz w:val="20"/>
        </w:rPr>
      </w:pPr>
      <w:r>
        <w:rPr>
          <w:rFonts w:ascii="Open Sans;sans-serif" w:hAnsi="Open Sans;sans-serif"/>
          <w:b/>
          <w:color w:val="231F20"/>
          <w:sz w:val="20"/>
        </w:rPr>
        <w:t>Item 1A. Risk Factors</w:t>
      </w:r>
    </w:p>
    <w:p>
      <w:pPr>
        <w:pStyle w:val="TextBody"/>
        <w:bidi w:val="0"/>
        <w:spacing w:before="0" w:after="0"/>
        <w:jc w:val="both"/>
        <w:rPr/>
      </w:pPr>
      <w:r>
        <w:rPr/>
      </w:r>
    </w:p>
    <w:p>
      <w:pPr>
        <w:pStyle w:val="TextBody"/>
        <w:bidi w:val="0"/>
        <w:spacing w:lineRule="auto" w:line="288" w:before="0" w:after="0"/>
        <w:jc w:val="both"/>
        <w:rPr>
          <w:rFonts w:ascii="Open Sans;sans-serif" w:hAnsi="Open Sans;sans-serif"/>
          <w:b w:val="false"/>
          <w:color w:val="231F20"/>
          <w:sz w:val="20"/>
        </w:rPr>
      </w:pPr>
      <w:r>
        <w:rPr>
          <w:rFonts w:ascii="Open Sans;sans-serif" w:hAnsi="Open Sans;sans-serif"/>
          <w:b w:val="false"/>
          <w:color w:val="231F20"/>
          <w:sz w:val="20"/>
        </w:rPr>
        <w:t xml:space="preserve">In addition to the other information set forth in this Quarterly Report on Form 10-Q, our business, financial condition, results of operations, cash flows, future prospects, and the trading price of our Class A common stock can be affected by a number of factors, whether currently known or unknown, including but not limited to those described in Part I, Item 1A of our 2025 Annual Report under the heading "Risk Factors," which are incorporated herein by reference, any one or more of which could, directly or indirectly, materially and adversely affect our business, financial condition, results of operations, cash flows, future prospects, and the trading price of our Class A common stock, or cause them to vary materially from past or anticipated future results. Except as set forth below, there have been no material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7955"/>
                <wp:effectExtent l="0" t="0" r="0" b="0"/>
                <wp:wrapNone/>
                <wp:docPr id="39" name="Frame39"/>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39</w:t>
                      </w:r>
                    </w:p>
                  </w:txbxContent>
                </v:textbox>
                <w10:wrap type="none"/>
              </v:rect>
            </w:pict>
          </mc:Fallback>
        </mc:AlternateContent>
      </w:r>
    </w:p>
    <w:p>
      <w:pPr>
        <w:pStyle w:val="TextBody"/>
        <w:bidi w:val="0"/>
        <w:spacing w:lineRule="auto" w:line="288" w:before="0" w:after="60"/>
        <w:jc w:val="left"/>
        <w:rPr/>
      </w:pPr>
      <w:hyperlink w:anchor="i86ce94018fb640d7903f0edbc68bd8af_7">
        <w:r>
          <w:rPr>
            <w:rStyle w:val="InternetLink"/>
            <w:rFonts w:ascii="Open Sans;sans-serif" w:hAnsi="Open Sans;sans-serif"/>
            <w:b w:val="false"/>
            <w:color w:val="0000FF"/>
            <w:sz w:val="18"/>
            <w:u w:val="single"/>
          </w:rPr>
          <w:t>Table of Contents</w:t>
        </w:r>
      </w:hyperlink>
    </w:p>
    <w:p>
      <w:pPr>
        <w:pStyle w:val="TextBody"/>
        <w:bidi w:val="0"/>
        <w:spacing w:before="0" w:after="0"/>
        <w:jc w:val="center"/>
        <w:rPr/>
      </w:pPr>
      <w:r>
        <w:rPr/>
      </w:r>
    </w:p>
    <w:p>
      <w:pPr>
        <w:pStyle w:val="TextBody"/>
        <w:bidi w:val="0"/>
        <w:spacing w:lineRule="auto" w:line="288" w:before="0" w:after="0"/>
        <w:jc w:val="both"/>
        <w:rPr>
          <w:rFonts w:ascii="Open Sans;sans-serif" w:hAnsi="Open Sans;sans-serif"/>
          <w:b w:val="false"/>
          <w:color w:val="231F20"/>
          <w:sz w:val="20"/>
        </w:rPr>
      </w:pPr>
      <w:r>
        <w:rPr>
          <w:rFonts w:ascii="Open Sans;sans-serif" w:hAnsi="Open Sans;sans-serif"/>
          <w:b w:val="false"/>
          <w:color w:val="231F20"/>
          <w:sz w:val="20"/>
        </w:rPr>
        <w:t>changes to our risk factors since the 2025 Annual Report. The following risk factor is being added to supplement the risk factors previously disclosed in the 2025 Annual Report:</w:t>
      </w:r>
    </w:p>
    <w:p>
      <w:pPr>
        <w:pStyle w:val="TextBody"/>
        <w:bidi w:val="0"/>
        <w:spacing w:before="0" w:after="0"/>
        <w:jc w:val="both"/>
        <w:rPr/>
      </w:pPr>
      <w:r>
        <w:rPr/>
      </w:r>
    </w:p>
    <w:p>
      <w:pPr>
        <w:pStyle w:val="TextBody"/>
        <w:bidi w:val="0"/>
        <w:spacing w:lineRule="auto" w:line="288" w:before="0" w:after="0"/>
        <w:jc w:val="both"/>
        <w:rPr>
          <w:rFonts w:ascii="Open Sans;sans-serif" w:hAnsi="Open Sans;sans-serif"/>
          <w:b/>
          <w:i/>
          <w:color w:val="231F20"/>
          <w:sz w:val="20"/>
        </w:rPr>
      </w:pPr>
      <w:r>
        <w:rPr>
          <w:rFonts w:ascii="Open Sans;sans-serif" w:hAnsi="Open Sans;sans-serif"/>
          <w:b/>
          <w:i/>
          <w:color w:val="231F20"/>
          <w:sz w:val="20"/>
        </w:rPr>
        <w:t>The proposed reverse stock split may fail to achieve any anticipated benefits.</w:t>
      </w:r>
    </w:p>
    <w:p>
      <w:pPr>
        <w:pStyle w:val="TextBody"/>
        <w:bidi w:val="0"/>
        <w:spacing w:lineRule="auto" w:line="288" w:before="0" w:after="0"/>
        <w:jc w:val="both"/>
        <w:rPr>
          <w:rFonts w:ascii="Open Sans;sans-serif" w:hAnsi="Open Sans;sans-serif"/>
          <w:b w:val="false"/>
          <w:color w:val="231F20"/>
          <w:sz w:val="20"/>
        </w:rPr>
      </w:pPr>
      <w:r>
        <w:rPr>
          <w:rFonts w:ascii="Open Sans;sans-serif" w:hAnsi="Open Sans;sans-serif"/>
          <w:b w:val="false"/>
          <w:color w:val="231F20"/>
          <w:sz w:val="20"/>
        </w:rPr>
        <w:t xml:space="preserve">We have scheduled our 2026 annual meeting of stockholders to be held on June 10, 2026, at which time our stockholders will vote on whether to approve an amendment to our amended and restated certificate of incorporation to effect a 1-for-4 reverse stock split of our capital stock (the “Reverse Stock Split”) and proportionately reduce the number of authorized shares of our capital stock. We cannot assure you that a Reverse Stock Split will have other anticipated benefits. The effect of a Reverse Stock Split, and the announcement or implementation of a Reverse Stock Split, cannot be predicted with any certainty and could negatively affect the trading price of our Class A Common Stock. It is also possible that the per share market price of our Class A Common Stock after a Reverse Stock Split will not increase in the same proportion as the reduction in the number of our outstanding shares of Class A Common Stock following the Reverse Stock Split, which would cause a reduction in the value of the Company as measured by our market capitalization. Although we believe a Reverse Stock Split may improve the marketability and trading costs of our Common Stock, we cannot provide you with any assurances to this effect. Even if we successfully implement a Reverse Stock Split, the market price of our Class A Common Stock may thereafter decrease due to factors unrelated to the Reverse Stock Split, including our results of operations, financial position, or prospects. </w:t>
      </w:r>
    </w:p>
    <w:p>
      <w:pPr>
        <w:pStyle w:val="TextBody"/>
        <w:bidi w:val="0"/>
        <w:spacing w:before="0" w:after="0"/>
        <w:jc w:val="both"/>
        <w:rPr/>
      </w:pPr>
      <w:r>
        <w:rPr/>
      </w:r>
    </w:p>
    <w:p>
      <w:pPr>
        <w:pStyle w:val="TextBody"/>
        <w:bidi w:val="0"/>
        <w:spacing w:lineRule="auto" w:line="288" w:before="0" w:after="0"/>
        <w:jc w:val="both"/>
        <w:rPr>
          <w:rFonts w:ascii="Open Sans;sans-serif" w:hAnsi="Open Sans;sans-serif"/>
          <w:b w:val="false"/>
          <w:color w:val="231F20"/>
          <w:sz w:val="20"/>
        </w:rPr>
      </w:pPr>
      <w:r>
        <w:rPr>
          <w:rFonts w:ascii="Open Sans;sans-serif" w:hAnsi="Open Sans;sans-serif"/>
          <w:b w:val="false"/>
          <w:color w:val="231F20"/>
          <w:sz w:val="20"/>
        </w:rPr>
        <w:t>A Reverse Stock Split may decrease the liquidity of our Class A Common Stock and result in higher transaction costs for “odd lot” positions of less than 100 shares. The liquidity of our Class A Common Stock may be negatively impacted by a Reverse Stock Split, given the reduced number of shares that would be outstanding after the Reverse Stock Split, particularly if the stock price does not increase as a result of the Reverse Stock Split. In addition, if a Reverse Stock Split is implemented, it would likely increase the number of our stockholders who own “odd lots” of fewer than 100 shares of our Class A Common Stock. Brokerage commission and other costs of transactions in odd lots are generally higher than the costs of transactions of 100 or more shares of our Class A Common Stock. Accordingly, a Reverse Stock Split may not achieve the desired results of increasing marketability and lowering trading costs of our Class A Common Stock described above.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7955"/>
                <wp:effectExtent l="0" t="0" r="0" b="0"/>
                <wp:wrapNone/>
                <wp:docPr id="40" name="Frame40"/>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40</w:t>
                      </w:r>
                    </w:p>
                  </w:txbxContent>
                </v:textbox>
                <w10:wrap type="none"/>
              </v:rect>
            </w:pict>
          </mc:Fallback>
        </mc:AlternateContent>
      </w:r>
    </w:p>
    <w:p>
      <w:pPr>
        <w:pStyle w:val="TextBody"/>
        <w:bidi w:val="0"/>
        <w:spacing w:lineRule="auto" w:line="288" w:before="0" w:after="60"/>
        <w:jc w:val="left"/>
        <w:rPr/>
      </w:pPr>
      <w:hyperlink w:anchor="i86ce94018fb640d7903f0edbc68bd8af_7">
        <w:r>
          <w:rPr>
            <w:rStyle w:val="InternetLink"/>
            <w:rFonts w:ascii="Open Sans;sans-serif" w:hAnsi="Open Sans;sans-serif"/>
            <w:b w:val="false"/>
            <w:color w:val="0000FF"/>
            <w:sz w:val="18"/>
            <w:u w:val="single"/>
          </w:rPr>
          <w:t>Table of Contents</w:t>
        </w:r>
      </w:hyperlink>
    </w:p>
    <w:p>
      <w:pPr>
        <w:pStyle w:val="TextBody"/>
        <w:bidi w:val="0"/>
        <w:spacing w:before="0" w:after="0"/>
        <w:jc w:val="center"/>
        <w:rPr/>
      </w:pPr>
      <w:r>
        <w:rPr/>
      </w:r>
    </w:p>
    <w:p>
      <w:pPr>
        <w:pStyle w:val="TextBody"/>
        <w:bidi w:val="0"/>
        <w:spacing w:lineRule="auto" w:line="288" w:before="360" w:after="283"/>
        <w:jc w:val="both"/>
        <w:rPr>
          <w:rFonts w:ascii="Open Sans;sans-serif" w:hAnsi="Open Sans;sans-serif"/>
          <w:b/>
          <w:color w:val="231F20"/>
          <w:sz w:val="20"/>
        </w:rPr>
      </w:pPr>
      <w:r>
        <w:rPr>
          <w:rFonts w:ascii="Open Sans;sans-serif" w:hAnsi="Open Sans;sans-serif"/>
          <w:b/>
          <w:color w:val="231F20"/>
          <w:sz w:val="20"/>
        </w:rPr>
        <w:t>Item 2. Unregistered Sales of Equity Securities and Use of Proceeds</w:t>
      </w:r>
    </w:p>
    <w:p>
      <w:pPr>
        <w:pStyle w:val="TextBody"/>
        <w:bidi w:val="0"/>
        <w:spacing w:lineRule="auto" w:line="288" w:before="240" w:after="283"/>
        <w:jc w:val="both"/>
        <w:rPr>
          <w:rFonts w:ascii="Open Sans;sans-serif" w:hAnsi="Open Sans;sans-serif"/>
          <w:b/>
          <w:i/>
          <w:color w:val="000000"/>
          <w:sz w:val="20"/>
        </w:rPr>
      </w:pPr>
      <w:r>
        <w:rPr>
          <w:rFonts w:ascii="Open Sans;sans-serif" w:hAnsi="Open Sans;sans-serif"/>
          <w:b/>
          <w:i/>
          <w:color w:val="000000"/>
          <w:sz w:val="20"/>
        </w:rPr>
        <w:t>Recent Sales of Unregistered Securities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None.</w:t>
      </w:r>
    </w:p>
    <w:p>
      <w:pPr>
        <w:pStyle w:val="TextBody"/>
        <w:bidi w:val="0"/>
        <w:spacing w:lineRule="auto" w:line="288" w:before="240" w:after="283"/>
        <w:jc w:val="both"/>
        <w:rPr>
          <w:rFonts w:ascii="Open Sans;sans-serif" w:hAnsi="Open Sans;sans-serif"/>
          <w:b/>
          <w:i/>
          <w:color w:val="000000"/>
          <w:sz w:val="20"/>
        </w:rPr>
      </w:pPr>
      <w:r>
        <w:rPr>
          <w:rFonts w:ascii="Open Sans;sans-serif" w:hAnsi="Open Sans;sans-serif"/>
          <w:b/>
          <w:i/>
          <w:color w:val="000000"/>
          <w:sz w:val="20"/>
        </w:rPr>
        <w:t>Purchase of Equity Securities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 xml:space="preserve">The following table summarizes the repurchases of our Class A common stock during the three months ended March 31, 2026 (in thousands, except per share amounts): </w:t>
      </w:r>
    </w:p>
    <w:tbl>
      <w:tblPr>
        <w:tblW w:w="10205" w:type="dxa"/>
        <w:jc w:val="left"/>
        <w:tblInd w:w="0" w:type="dxa"/>
        <w:tblLayout w:type="fixed"/>
        <w:tblCellMar>
          <w:top w:w="28" w:type="dxa"/>
          <w:left w:w="28" w:type="dxa"/>
          <w:bottom w:w="28" w:type="dxa"/>
          <w:right w:w="28" w:type="dxa"/>
        </w:tblCellMar>
      </w:tblPr>
      <w:tblGrid>
        <w:gridCol w:w="488"/>
        <w:gridCol w:w="345"/>
        <w:gridCol w:w="351"/>
        <w:gridCol w:w="148"/>
        <w:gridCol w:w="148"/>
        <w:gridCol w:w="150"/>
        <w:gridCol w:w="431"/>
        <w:gridCol w:w="332"/>
        <w:gridCol w:w="333"/>
        <w:gridCol w:w="148"/>
        <w:gridCol w:w="148"/>
        <w:gridCol w:w="150"/>
        <w:gridCol w:w="239"/>
        <w:gridCol w:w="621"/>
        <w:gridCol w:w="115"/>
        <w:gridCol w:w="148"/>
        <w:gridCol w:w="148"/>
        <w:gridCol w:w="150"/>
        <w:gridCol w:w="819"/>
        <w:gridCol w:w="819"/>
        <w:gridCol w:w="821"/>
        <w:gridCol w:w="109"/>
        <w:gridCol w:w="109"/>
        <w:gridCol w:w="109"/>
        <w:gridCol w:w="412"/>
        <w:gridCol w:w="1508"/>
        <w:gridCol w:w="906"/>
      </w:tblGrid>
      <w:tr>
        <w:trPr/>
        <w:tc>
          <w:tcPr>
            <w:tcW w:w="488"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ind w:left="0" w:right="0" w:firstLine="360"/>
              <w:jc w:val="left"/>
              <w:rPr>
                <w:sz w:val="4"/>
                <w:szCs w:val="4"/>
              </w:rPr>
            </w:pPr>
            <w:r>
              <w:rPr>
                <w:sz w:val="4"/>
                <w:szCs w:val="4"/>
              </w:rPr>
            </w:r>
          </w:p>
        </w:tc>
      </w:tr>
      <w:tr>
        <w:trPr/>
        <w:tc>
          <w:tcPr>
            <w:tcW w:w="118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Open Sans;sans-serif" w:hAnsi="Open Sans;sans-serif"/>
                <w:b/>
                <w:color w:val="000000"/>
                <w:sz w:val="18"/>
              </w:rPr>
            </w:pPr>
            <w:r>
              <w:rPr>
                <w:rFonts w:ascii="Open Sans;sans-serif" w:hAnsi="Open Sans;sans-serif"/>
                <w:b/>
                <w:color w:val="000000"/>
                <w:sz w:val="18"/>
              </w:rPr>
              <w:t>Period</w:t>
            </w:r>
          </w:p>
        </w:tc>
        <w:tc>
          <w:tcPr>
            <w:tcW w:w="446" w:type="dxa"/>
            <w:gridSpan w:val="3"/>
            <w:tcBorders/>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Open Sans;sans-serif" w:hAnsi="Open Sans;sans-serif"/>
                <w:b/>
                <w:color w:val="000000"/>
                <w:sz w:val="14"/>
              </w:rPr>
            </w:pPr>
            <w:r>
              <w:rPr>
                <w:rFonts w:ascii="Open Sans;sans-serif" w:hAnsi="Open Sans;sans-serif"/>
                <w:b/>
                <w:color w:val="000000"/>
                <w:sz w:val="14"/>
              </w:rPr>
              <w:t>Total Number of</w:t>
            </w:r>
          </w:p>
          <w:p>
            <w:pPr>
              <w:pStyle w:val="TableContents"/>
              <w:bidi w:val="0"/>
              <w:spacing w:lineRule="auto" w:line="268" w:before="0" w:after="0"/>
              <w:jc w:val="center"/>
              <w:rPr>
                <w:color w:val="000000"/>
              </w:rPr>
            </w:pPr>
            <w:r>
              <w:rPr>
                <w:color w:val="000000"/>
              </w:rPr>
              <w:t> </w:t>
            </w:r>
            <w:r>
              <w:rPr>
                <w:rFonts w:ascii="Open Sans;sans-serif" w:hAnsi="Open Sans;sans-serif"/>
                <w:b/>
                <w:color w:val="000000"/>
                <w:sz w:val="14"/>
              </w:rPr>
              <w:t>Shares Purchased</w:t>
            </w:r>
          </w:p>
        </w:tc>
        <w:tc>
          <w:tcPr>
            <w:tcW w:w="446" w:type="dxa"/>
            <w:gridSpan w:val="3"/>
            <w:tcBorders/>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Open Sans;sans-serif" w:hAnsi="Open Sans;sans-serif"/>
                <w:b/>
                <w:color w:val="000000"/>
                <w:sz w:val="14"/>
              </w:rPr>
            </w:pPr>
            <w:r>
              <w:rPr>
                <w:rFonts w:ascii="Open Sans;sans-serif" w:hAnsi="Open Sans;sans-serif"/>
                <w:b/>
                <w:color w:val="000000"/>
                <w:sz w:val="14"/>
              </w:rPr>
              <w:t xml:space="preserve">Average Price </w:t>
            </w:r>
          </w:p>
          <w:p>
            <w:pPr>
              <w:pStyle w:val="TableContents"/>
              <w:bidi w:val="0"/>
              <w:spacing w:lineRule="auto" w:line="268" w:before="0" w:after="0"/>
              <w:jc w:val="center"/>
              <w:rPr>
                <w:rFonts w:ascii="Open Sans;sans-serif" w:hAnsi="Open Sans;sans-serif"/>
                <w:b/>
                <w:color w:val="000000"/>
                <w:sz w:val="14"/>
              </w:rPr>
            </w:pPr>
            <w:r>
              <w:rPr>
                <w:rFonts w:ascii="Open Sans;sans-serif" w:hAnsi="Open Sans;sans-serif"/>
                <w:b/>
                <w:color w:val="000000"/>
                <w:sz w:val="14"/>
              </w:rPr>
              <w:t>Paid per Share</w:t>
            </w:r>
          </w:p>
        </w:tc>
        <w:tc>
          <w:tcPr>
            <w:tcW w:w="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cMar>
              <w:top w:w="0" w:type="dxa"/>
              <w:left w:w="0" w:type="dxa"/>
              <w:bottom w:w="0" w:type="dxa"/>
              <w:right w:w="0" w:type="dxa"/>
            </w:tcMar>
            <w:vAlign w:val="center"/>
          </w:tcPr>
          <w:p>
            <w:pPr>
              <w:pStyle w:val="TableContents"/>
              <w:bidi w:val="0"/>
              <w:spacing w:lineRule="auto" w:line="268" w:before="0" w:after="0"/>
              <w:ind w:left="0" w:right="0" w:firstLine="360"/>
              <w:jc w:val="center"/>
              <w:rPr/>
            </w:pPr>
            <w:r>
              <w:rPr>
                <w:rFonts w:ascii="Open Sans;sans-serif" w:hAnsi="Open Sans;sans-serif"/>
                <w:b/>
                <w:color w:val="000000"/>
                <w:sz w:val="14"/>
              </w:rPr>
              <w:t xml:space="preserve">Total Number of Shares Purchased as Part of Publicly Announced Plans or Programs </w:t>
            </w:r>
            <w:r>
              <w:rPr>
                <w:rFonts w:ascii="Open Sans;sans-serif" w:hAnsi="Open Sans;sans-serif"/>
                <w:b/>
                <w:color w:val="000000"/>
                <w:sz w:val="9"/>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6" w:type="dxa"/>
            <w:gridSpan w:val="3"/>
            <w:tcBorders/>
            <w:tcMar>
              <w:top w:w="0" w:type="dxa"/>
              <w:left w:w="0" w:type="dxa"/>
              <w:bottom w:w="0" w:type="dxa"/>
              <w:right w:w="0" w:type="dxa"/>
            </w:tcMar>
            <w:vAlign w:val="center"/>
          </w:tcPr>
          <w:p>
            <w:pPr>
              <w:pStyle w:val="TableContents"/>
              <w:bidi w:val="0"/>
              <w:spacing w:lineRule="auto" w:line="268" w:before="0" w:after="0"/>
              <w:ind w:left="0" w:right="0" w:firstLine="360"/>
              <w:jc w:val="center"/>
              <w:rPr/>
            </w:pPr>
            <w:r>
              <w:rPr>
                <w:rFonts w:ascii="Open Sans;sans-serif" w:hAnsi="Open Sans;sans-serif"/>
                <w:b/>
                <w:color w:val="000000"/>
                <w:sz w:val="14"/>
              </w:rPr>
              <w:t xml:space="preserve">Approximate Dollar Value of Shares that May Yet Be Purchased Under the Plans or Programs </w:t>
            </w:r>
            <w:r>
              <w:rPr>
                <w:rFonts w:ascii="Open Sans;sans-serif" w:hAnsi="Open Sans;sans-serif"/>
                <w:b/>
                <w:color w:val="000000"/>
                <w:sz w:val="9"/>
              </w:rPr>
              <w:t>(1)</w:t>
            </w:r>
          </w:p>
        </w:tc>
      </w:tr>
      <w:tr>
        <w:trPr/>
        <w:tc>
          <w:tcPr>
            <w:tcW w:w="11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Open Sans;sans-serif" w:hAnsi="Open Sans;sans-serif"/>
                <w:b w:val="false"/>
                <w:color w:val="000000"/>
                <w:sz w:val="18"/>
              </w:rPr>
            </w:pPr>
            <w:r>
              <w:rPr>
                <w:rFonts w:ascii="Open Sans;sans-serif" w:hAnsi="Open Sans;sans-serif"/>
                <w:b w:val="false"/>
                <w:color w:val="000000"/>
                <w:sz w:val="18"/>
              </w:rPr>
              <w:t>January 1 - 31, 2026</w:t>
            </w:r>
          </w:p>
        </w:tc>
        <w:tc>
          <w:tcPr>
            <w:tcW w:w="446"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7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Open Sans;sans-serif" w:hAnsi="Open Sans;sans-serif"/>
                <w:b w:val="false"/>
                <w:color w:val="000000"/>
                <w:sz w:val="18"/>
              </w:rPr>
            </w:pPr>
            <w:r>
              <w:rPr>
                <w:rFonts w:ascii="Open Sans;sans-serif" w:hAnsi="Open Sans;sans-serif"/>
                <w:b w:val="false"/>
                <w:color w:val="000000"/>
                <w:sz w:val="18"/>
              </w:rPr>
              <w:t>2,319 </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6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Open Sans;sans-serif" w:hAnsi="Open Sans;sans-serif"/>
                <w:b w:val="false"/>
                <w:color w:val="000000"/>
                <w:sz w:val="18"/>
              </w:rPr>
            </w:pPr>
            <w:r>
              <w:rPr>
                <w:rFonts w:ascii="Open Sans;sans-serif" w:hAnsi="Open Sans;sans-serif"/>
                <w:b w:val="false"/>
                <w:color w:val="000000"/>
                <w:sz w:val="18"/>
              </w:rPr>
              <w:t>4.49 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16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Open Sans;sans-serif" w:hAnsi="Open Sans;sans-serif"/>
                <w:b w:val="false"/>
                <w:color w:val="000000"/>
                <w:sz w:val="18"/>
              </w:rPr>
            </w:pPr>
            <w:r>
              <w:rPr>
                <w:rFonts w:ascii="Open Sans;sans-serif" w:hAnsi="Open Sans;sans-serif"/>
                <w:b w:val="false"/>
                <w:color w:val="000000"/>
                <w:sz w:val="18"/>
              </w:rPr>
              <w:t>2,319 </w:t>
            </w:r>
          </w:p>
        </w:tc>
        <w:tc>
          <w:tcPr>
            <w:tcW w:w="8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15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Open Sans;sans-serif" w:hAnsi="Open Sans;sans-serif"/>
                <w:b w:val="false"/>
                <w:color w:val="000000"/>
                <w:sz w:val="18"/>
              </w:rPr>
            </w:pPr>
            <w:r>
              <w:rPr>
                <w:rFonts w:ascii="Open Sans;sans-serif" w:hAnsi="Open Sans;sans-serif"/>
                <w:b w:val="false"/>
                <w:color w:val="000000"/>
                <w:sz w:val="18"/>
              </w:rPr>
              <w:t>81,144 </w:t>
            </w:r>
          </w:p>
        </w:tc>
        <w:tc>
          <w:tcPr>
            <w:tcW w:w="9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Open Sans;sans-serif" w:hAnsi="Open Sans;sans-serif"/>
                <w:b w:val="false"/>
                <w:color w:val="000000"/>
                <w:sz w:val="18"/>
              </w:rPr>
            </w:pPr>
            <w:r>
              <w:rPr>
                <w:rFonts w:ascii="Open Sans;sans-serif" w:hAnsi="Open Sans;sans-serif"/>
                <w:b w:val="false"/>
                <w:color w:val="000000"/>
                <w:sz w:val="18"/>
              </w:rPr>
              <w:t>February 1 - 28, 2026</w:t>
            </w:r>
          </w:p>
        </w:tc>
        <w:tc>
          <w:tcPr>
            <w:tcW w:w="446"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Open Sans;sans-serif" w:hAnsi="Open Sans;sans-serif"/>
                <w:b w:val="false"/>
                <w:color w:val="000000"/>
                <w:sz w:val="18"/>
              </w:rPr>
            </w:pPr>
            <w:r>
              <w:rPr>
                <w:rFonts w:ascii="Open Sans;sans-serif" w:hAnsi="Open Sans;sans-serif"/>
                <w:b w:val="false"/>
                <w:color w:val="000000"/>
                <w:sz w:val="18"/>
              </w:rPr>
              <w:t>4,329 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621"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Open Sans;sans-serif" w:hAnsi="Open Sans;sans-serif"/>
                <w:b w:val="false"/>
                <w:color w:val="000000"/>
                <w:sz w:val="18"/>
              </w:rPr>
            </w:pPr>
            <w:r>
              <w:rPr>
                <w:rFonts w:ascii="Open Sans;sans-serif" w:hAnsi="Open Sans;sans-serif"/>
                <w:b w:val="false"/>
                <w:color w:val="000000"/>
                <w:sz w:val="18"/>
              </w:rPr>
              <w:t>4.06 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1638"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Open Sans;sans-serif" w:hAnsi="Open Sans;sans-serif"/>
                <w:b w:val="false"/>
                <w:color w:val="000000"/>
                <w:sz w:val="18"/>
              </w:rPr>
            </w:pPr>
            <w:r>
              <w:rPr>
                <w:rFonts w:ascii="Open Sans;sans-serif" w:hAnsi="Open Sans;sans-serif"/>
                <w:b w:val="false"/>
                <w:color w:val="000000"/>
                <w:sz w:val="18"/>
              </w:rPr>
              <w:t>4,329 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1508"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Open Sans;sans-serif" w:hAnsi="Open Sans;sans-serif"/>
                <w:b w:val="false"/>
                <w:color w:val="000000"/>
                <w:sz w:val="18"/>
              </w:rPr>
            </w:pPr>
            <w:r>
              <w:rPr>
                <w:rFonts w:ascii="Open Sans;sans-serif" w:hAnsi="Open Sans;sans-serif"/>
                <w:b w:val="false"/>
                <w:color w:val="000000"/>
                <w:sz w:val="18"/>
              </w:rPr>
              <w:t>63,584 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Open Sans;sans-serif" w:hAnsi="Open Sans;sans-serif"/>
                <w:b w:val="false"/>
                <w:color w:val="000000"/>
                <w:sz w:val="18"/>
              </w:rPr>
            </w:pPr>
            <w:r>
              <w:rPr>
                <w:rFonts w:ascii="Open Sans;sans-serif" w:hAnsi="Open Sans;sans-serif"/>
                <w:b w:val="false"/>
                <w:color w:val="000000"/>
                <w:sz w:val="18"/>
              </w:rPr>
              <w:t>March 1 - 31, 2026</w:t>
            </w:r>
          </w:p>
        </w:tc>
        <w:tc>
          <w:tcPr>
            <w:tcW w:w="446"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763"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Open Sans;sans-serif" w:hAnsi="Open Sans;sans-serif"/>
                <w:b w:val="false"/>
                <w:color w:val="000000"/>
                <w:sz w:val="18"/>
              </w:rPr>
            </w:pPr>
            <w:r>
              <w:rPr>
                <w:rFonts w:ascii="Open Sans;sans-serif" w:hAnsi="Open Sans;sans-serif"/>
                <w:b w:val="false"/>
                <w:color w:val="000000"/>
                <w:sz w:val="18"/>
              </w:rPr>
              <w:t>2,760 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621"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Open Sans;sans-serif" w:hAnsi="Open Sans;sans-serif"/>
                <w:b w:val="false"/>
                <w:color w:val="000000"/>
                <w:sz w:val="18"/>
              </w:rPr>
            </w:pPr>
            <w:r>
              <w:rPr>
                <w:rFonts w:ascii="Open Sans;sans-serif" w:hAnsi="Open Sans;sans-serif"/>
                <w:b w:val="false"/>
                <w:color w:val="000000"/>
                <w:sz w:val="18"/>
              </w:rPr>
              <w:t>4.04 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1638"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Open Sans;sans-serif" w:hAnsi="Open Sans;sans-serif"/>
                <w:b w:val="false"/>
                <w:color w:val="000000"/>
                <w:sz w:val="18"/>
              </w:rPr>
            </w:pPr>
            <w:r>
              <w:rPr>
                <w:rFonts w:ascii="Open Sans;sans-serif" w:hAnsi="Open Sans;sans-serif"/>
                <w:b w:val="false"/>
                <w:color w:val="000000"/>
                <w:sz w:val="18"/>
              </w:rPr>
              <w:t>2,760 </w:t>
            </w:r>
          </w:p>
        </w:tc>
        <w:tc>
          <w:tcPr>
            <w:tcW w:w="8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1508"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Open Sans;sans-serif" w:hAnsi="Open Sans;sans-serif"/>
                <w:b w:val="false"/>
                <w:color w:val="000000"/>
                <w:sz w:val="18"/>
              </w:rPr>
            </w:pPr>
            <w:r>
              <w:rPr>
                <w:rFonts w:ascii="Open Sans;sans-serif" w:hAnsi="Open Sans;sans-serif"/>
                <w:b w:val="false"/>
                <w:color w:val="000000"/>
                <w:sz w:val="18"/>
              </w:rPr>
              <w:t>52,433 </w:t>
            </w:r>
          </w:p>
        </w:tc>
        <w:tc>
          <w:tcPr>
            <w:tcW w:w="906"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118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Open Sans;sans-serif" w:hAnsi="Open Sans;sans-serif"/>
                <w:b w:val="false"/>
                <w:color w:val="000000"/>
                <w:sz w:val="18"/>
              </w:rPr>
            </w:pPr>
            <w:r>
              <w:rPr>
                <w:rFonts w:ascii="Open Sans;sans-serif" w:hAnsi="Open Sans;sans-serif"/>
                <w:b w:val="false"/>
                <w:color w:val="000000"/>
                <w:sz w:val="18"/>
              </w:rPr>
              <w:t>Total</w:t>
            </w:r>
          </w:p>
        </w:tc>
        <w:tc>
          <w:tcPr>
            <w:tcW w:w="446"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763"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right"/>
              <w:rPr>
                <w:rFonts w:ascii="Open Sans;sans-serif" w:hAnsi="Open Sans;sans-serif"/>
                <w:b w:val="false"/>
                <w:color w:val="000000"/>
                <w:sz w:val="18"/>
              </w:rPr>
            </w:pPr>
            <w:r>
              <w:rPr>
                <w:rFonts w:ascii="Open Sans;sans-serif" w:hAnsi="Open Sans;sans-serif"/>
                <w:b w:val="false"/>
                <w:color w:val="000000"/>
                <w:sz w:val="18"/>
              </w:rPr>
              <w:t>9,408 </w:t>
            </w:r>
          </w:p>
        </w:tc>
        <w:tc>
          <w:tcPr>
            <w:tcW w:w="3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163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right"/>
              <w:rPr>
                <w:rFonts w:ascii="Open Sans;sans-serif" w:hAnsi="Open Sans;sans-serif"/>
                <w:b w:val="false"/>
                <w:color w:val="000000"/>
                <w:sz w:val="18"/>
              </w:rPr>
            </w:pPr>
            <w:r>
              <w:rPr>
                <w:rFonts w:ascii="Open Sans;sans-serif" w:hAnsi="Open Sans;sans-serif"/>
                <w:b w:val="false"/>
                <w:color w:val="000000"/>
                <w:sz w:val="18"/>
              </w:rPr>
              <w:t>9,408 </w:t>
            </w:r>
          </w:p>
        </w:tc>
        <w:tc>
          <w:tcPr>
            <w:tcW w:w="8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pPr>
      <w:r>
        <w:rPr>
          <w:rFonts w:ascii="Open Sans;sans-serif" w:hAnsi="Open Sans;sans-serif"/>
          <w:b w:val="false"/>
          <w:color w:val="000000"/>
          <w:sz w:val="13"/>
        </w:rPr>
        <w:t>(1)</w:t>
      </w:r>
      <w:r>
        <w:rPr>
          <w:color w:val="000000"/>
        </w:rPr>
        <w:t xml:space="preserve"> </w:t>
      </w:r>
      <w:r>
        <w:rPr>
          <w:rFonts w:ascii="Open Sans;sans-serif" w:hAnsi="Open Sans;sans-serif"/>
          <w:b w:val="false"/>
          <w:color w:val="000000"/>
          <w:sz w:val="20"/>
        </w:rPr>
        <w:t xml:space="preserve">On December 4, 2025, our Board of Directors authorized an additional share repurchase program of up to $100 million of the Company’s Class A common stock (the “December 2025 Share Repurchase Program”). Under the December 2025 Share Repurchase Program, we are authorized to repurchase shares through open market purchases, in privately negotiated transactions, or by other means, in accordance with applicable federal securities laws, including through trading plans under Rule 10b5-1 of the Exchange Act. The number of shares repurchased and the timing of purchases are based on general business and market conditions, and other factors, including legal requirements. The December 2025 Share Repurchase Program has no set expiration date.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Open Sans;sans-serif" w:hAnsi="Open Sans;sans-serif"/>
          <w:b/>
          <w:color w:val="231F20"/>
          <w:sz w:val="20"/>
        </w:rPr>
      </w:pPr>
      <w:r>
        <w:rPr>
          <w:rFonts w:ascii="Open Sans;sans-serif" w:hAnsi="Open Sans;sans-serif"/>
          <w:b/>
          <w:color w:val="231F20"/>
          <w:sz w:val="20"/>
        </w:rPr>
        <w:t>Item 3. Defaults Upon Senior Securities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Open Sans;sans-serif" w:hAnsi="Open Sans;sans-serif"/>
          <w:b/>
          <w:color w:val="231F20"/>
          <w:sz w:val="20"/>
        </w:rPr>
      </w:pPr>
      <w:r>
        <w:rPr>
          <w:rFonts w:ascii="Open Sans;sans-serif" w:hAnsi="Open Sans;sans-serif"/>
          <w:b/>
          <w:color w:val="231F20"/>
          <w:sz w:val="20"/>
        </w:rPr>
        <w:t>Item 4. Mine Safety Disclosures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Open Sans;sans-serif" w:hAnsi="Open Sans;sans-serif"/>
          <w:b/>
          <w:color w:val="231F20"/>
          <w:sz w:val="20"/>
        </w:rPr>
      </w:pPr>
      <w:r>
        <w:rPr>
          <w:rFonts w:ascii="Open Sans;sans-serif" w:hAnsi="Open Sans;sans-serif"/>
          <w:b/>
          <w:color w:val="231F20"/>
          <w:sz w:val="20"/>
        </w:rPr>
        <w:t>Item 5. Other Information</w:t>
      </w:r>
    </w:p>
    <w:p>
      <w:pPr>
        <w:pStyle w:val="TextBody"/>
        <w:bidi w:val="0"/>
        <w:spacing w:before="0" w:after="0"/>
        <w:jc w:val="both"/>
        <w:rPr/>
      </w:pPr>
      <w:r>
        <w:rPr/>
      </w:r>
    </w:p>
    <w:p>
      <w:pPr>
        <w:pStyle w:val="TextBody"/>
        <w:bidi w:val="0"/>
        <w:spacing w:lineRule="auto" w:line="276" w:before="0" w:after="0"/>
        <w:jc w:val="both"/>
        <w:rPr>
          <w:rFonts w:ascii="Open Sans;sans-serif" w:hAnsi="Open Sans;sans-serif"/>
          <w:b w:val="false"/>
          <w:color w:val="000000"/>
          <w:sz w:val="20"/>
        </w:rPr>
      </w:pPr>
      <w:r>
        <w:rPr>
          <w:rFonts w:ascii="Open Sans;sans-serif" w:hAnsi="Open Sans;sans-serif"/>
          <w:b w:val="false"/>
          <w:color w:val="000000"/>
          <w:sz w:val="20"/>
        </w:rPr>
        <w:t>(c) During our last fiscal quarter, on March 12, 2026, Todd Pollak, our Chief Revenue Officer, adopted a “Rule 10b5-1 trading arrangement” as defined in Regulation S-K Item 408 providing for the sale from time to time of an aggregate of up to 75,100 shares of our Class A Common Stock. The trading arrangement is intended to satisfy the affirmative defense in Rule 10b5-1(c). The duration of the trading arrangement is until March 18, 2027, or earlier if all transactions under the trading arrangement are completed, but in no case earlier than one year, or later than two years, from March 18, 2026. This trading arrangement will not commence until the termination of his previous trading arrangement by its terms on June 30, 2026.</w:t>
      </w:r>
    </w:p>
    <w:p>
      <w:pPr>
        <w:pStyle w:val="TextBody"/>
        <w:bidi w:val="0"/>
        <w:spacing w:before="0" w:after="0"/>
        <w:jc w:val="both"/>
        <w:rPr/>
      </w:pPr>
      <w:r>
        <w:rPr/>
      </w:r>
    </w:p>
    <w:p>
      <w:pPr>
        <w:pStyle w:val="TextBody"/>
        <w:bidi w:val="0"/>
        <w:spacing w:lineRule="auto" w:line="276" w:before="0" w:after="0"/>
        <w:jc w:val="both"/>
        <w:rPr>
          <w:rFonts w:ascii="Open Sans;sans-serif" w:hAnsi="Open Sans;sans-serif"/>
          <w:b w:val="false"/>
          <w:color w:val="000000"/>
          <w:sz w:val="20"/>
        </w:rPr>
      </w:pPr>
      <w:r>
        <w:rPr>
          <w:rFonts w:ascii="Open Sans;sans-serif" w:hAnsi="Open Sans;sans-serif"/>
          <w:b w:val="false"/>
          <w:color w:val="000000"/>
          <w:sz w:val="20"/>
        </w:rPr>
        <w:t>No other officers, as defined in Rule 16a-1(f), or directors adopted or terminated a Rule 10b5-1 trading arrangement or a “non-Rule 10b5-1 trading arrangement,” as defined in Item 408 of Regulation S-K, during our last fiscal quarter.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7955"/>
                <wp:effectExtent l="0" t="0" r="0" b="0"/>
                <wp:wrapNone/>
                <wp:docPr id="41" name="Frame41"/>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86ce94018fb640d7903f0edbc68bd8af_7">
        <w:r>
          <w:rPr>
            <w:rStyle w:val="InternetLink"/>
            <w:rFonts w:ascii="Open Sans;sans-serif" w:hAnsi="Open Sans;sans-serif"/>
            <w:b w:val="false"/>
            <w:color w:val="0000FF"/>
            <w:sz w:val="18"/>
            <w:u w:val="single"/>
          </w:rPr>
          <w:t>Table of Contents</w:t>
        </w:r>
      </w:hyperlink>
    </w:p>
    <w:p>
      <w:pPr>
        <w:pStyle w:val="TextBody"/>
        <w:bidi w:val="0"/>
        <w:spacing w:before="0" w:after="0"/>
        <w:jc w:val="center"/>
        <w:rPr/>
      </w:pPr>
      <w:r>
        <w:rPr/>
      </w:r>
    </w:p>
    <w:p>
      <w:pPr>
        <w:pStyle w:val="TextBody"/>
        <w:bidi w:val="0"/>
        <w:spacing w:lineRule="auto" w:line="288" w:before="0" w:after="0"/>
        <w:jc w:val="left"/>
        <w:rPr>
          <w:rFonts w:ascii="Open Sans;sans-serif" w:hAnsi="Open Sans;sans-serif"/>
          <w:b/>
          <w:color w:val="231F20"/>
          <w:sz w:val="20"/>
        </w:rPr>
      </w:pPr>
      <w:r>
        <w:rPr>
          <w:rFonts w:ascii="Open Sans;sans-serif" w:hAnsi="Open Sans;sans-serif"/>
          <w:b/>
          <w:color w:val="231F20"/>
          <w:sz w:val="20"/>
        </w:rPr>
        <w:t>Item 6. Exhibits</w:t>
      </w:r>
    </w:p>
    <w:p>
      <w:pPr>
        <w:pStyle w:val="TextBody"/>
        <w:bidi w:val="0"/>
        <w:spacing w:lineRule="auto" w:line="288" w:before="120" w:after="120"/>
        <w:jc w:val="left"/>
        <w:rPr>
          <w:rFonts w:ascii="Open Sans;sans-serif" w:hAnsi="Open Sans;sans-serif"/>
          <w:b w:val="false"/>
          <w:color w:val="000000"/>
          <w:sz w:val="18"/>
        </w:rPr>
      </w:pPr>
      <w:r>
        <w:rPr>
          <w:rFonts w:ascii="Open Sans;sans-serif" w:hAnsi="Open Sans;sans-serif"/>
          <w:b w:val="false"/>
          <w:color w:val="000000"/>
          <w:sz w:val="18"/>
        </w:rPr>
        <w:t>The following exhibits are filed herewith or incorporated by reference herein:</w:t>
      </w:r>
    </w:p>
    <w:tbl>
      <w:tblPr>
        <w:tblW w:w="10205" w:type="dxa"/>
        <w:jc w:val="left"/>
        <w:tblInd w:w="0" w:type="dxa"/>
        <w:tblLayout w:type="fixed"/>
        <w:tblCellMar>
          <w:top w:w="28" w:type="dxa"/>
          <w:left w:w="28" w:type="dxa"/>
          <w:bottom w:w="28" w:type="dxa"/>
          <w:right w:w="28" w:type="dxa"/>
        </w:tblCellMar>
      </w:tblPr>
      <w:tblGrid>
        <w:gridCol w:w="240"/>
        <w:gridCol w:w="211"/>
        <w:gridCol w:w="212"/>
        <w:gridCol w:w="109"/>
        <w:gridCol w:w="109"/>
        <w:gridCol w:w="109"/>
        <w:gridCol w:w="2014"/>
        <w:gridCol w:w="1734"/>
        <w:gridCol w:w="1752"/>
        <w:gridCol w:w="109"/>
        <w:gridCol w:w="109"/>
        <w:gridCol w:w="109"/>
        <w:gridCol w:w="160"/>
        <w:gridCol w:w="160"/>
        <w:gridCol w:w="161"/>
        <w:gridCol w:w="109"/>
        <w:gridCol w:w="109"/>
        <w:gridCol w:w="109"/>
        <w:gridCol w:w="236"/>
        <w:gridCol w:w="236"/>
        <w:gridCol w:w="200"/>
        <w:gridCol w:w="109"/>
        <w:gridCol w:w="109"/>
        <w:gridCol w:w="109"/>
        <w:gridCol w:w="216"/>
        <w:gridCol w:w="216"/>
        <w:gridCol w:w="217"/>
        <w:gridCol w:w="109"/>
        <w:gridCol w:w="109"/>
        <w:gridCol w:w="109"/>
        <w:gridCol w:w="174"/>
        <w:gridCol w:w="174"/>
        <w:gridCol w:w="257"/>
      </w:tblGrid>
      <w:tr>
        <w:trPr/>
        <w:tc>
          <w:tcPr>
            <w:tcW w:w="2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4" w:type="dxa"/>
            <w:tcBorders/>
            <w:vAlign w:val="center"/>
          </w:tcPr>
          <w:p>
            <w:pPr>
              <w:pStyle w:val="TableContents"/>
              <w:bidi w:val="0"/>
              <w:spacing w:before="0" w:after="283"/>
              <w:jc w:val="left"/>
              <w:rPr>
                <w:sz w:val="4"/>
                <w:szCs w:val="4"/>
              </w:rPr>
            </w:pPr>
            <w:r>
              <w:rPr>
                <w:sz w:val="4"/>
                <w:szCs w:val="4"/>
              </w:rPr>
            </w:r>
          </w:p>
        </w:tc>
        <w:tc>
          <w:tcPr>
            <w:tcW w:w="1734" w:type="dxa"/>
            <w:tcBorders/>
            <w:vAlign w:val="center"/>
          </w:tcPr>
          <w:p>
            <w:pPr>
              <w:pStyle w:val="TableContents"/>
              <w:bidi w:val="0"/>
              <w:spacing w:before="0" w:after="283"/>
              <w:jc w:val="left"/>
              <w:rPr>
                <w:sz w:val="4"/>
                <w:szCs w:val="4"/>
              </w:rPr>
            </w:pPr>
            <w:r>
              <w:rPr>
                <w:sz w:val="4"/>
                <w:szCs w:val="4"/>
              </w:rPr>
            </w:r>
          </w:p>
        </w:tc>
        <w:tc>
          <w:tcPr>
            <w:tcW w:w="17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r>
      <w:tr>
        <w:trPr/>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4"/>
              </w:rPr>
            </w:pPr>
            <w:r>
              <w:rPr>
                <w:rFonts w:ascii="Open Sans;sans-serif" w:hAnsi="Open Sans;sans-serif"/>
                <w:b/>
                <w:color w:val="000000"/>
                <w:sz w:val="14"/>
              </w:rPr>
              <w:t>Incorporated by Reference</w:t>
            </w:r>
          </w:p>
        </w:tc>
      </w:tr>
      <w:tr>
        <w:trPr/>
        <w:tc>
          <w:tcPr>
            <w:tcW w:w="6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4"/>
              </w:rPr>
            </w:pPr>
            <w:r>
              <w:rPr>
                <w:rFonts w:ascii="Open Sans;sans-serif" w:hAnsi="Open Sans;sans-serif"/>
                <w:b/>
                <w:color w:val="000000"/>
                <w:sz w:val="14"/>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4"/>
              </w:rPr>
            </w:pPr>
            <w:r>
              <w:rPr>
                <w:rFonts w:ascii="Open Sans;sans-serif" w:hAnsi="Open Sans;sans-serif"/>
                <w:b/>
                <w:color w:val="000000"/>
                <w:sz w:val="14"/>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4"/>
              </w:rPr>
            </w:pPr>
            <w:r>
              <w:rPr>
                <w:rFonts w:ascii="Open Sans;sans-serif" w:hAnsi="Open Sans;sans-serif"/>
                <w:b/>
                <w:color w:val="000000"/>
                <w:sz w:val="14"/>
              </w:rPr>
              <w: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4"/>
              </w:rPr>
            </w:pPr>
            <w:r>
              <w:rPr>
                <w:rFonts w:ascii="Open Sans;sans-serif" w:hAnsi="Open Sans;sans-serif"/>
                <w:b/>
                <w:color w:val="000000"/>
                <w:sz w:val="14"/>
              </w:rPr>
              <w:t>File No.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4"/>
              </w:rPr>
            </w:pPr>
            <w:r>
              <w:rPr>
                <w:rFonts w:ascii="Open Sans;sans-serif" w:hAnsi="Open Sans;sans-serif"/>
                <w:b/>
                <w:color w:val="000000"/>
                <w:sz w:val="14"/>
              </w:rPr>
              <w:t>Exhibit No.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4"/>
              </w:rPr>
            </w:pPr>
            <w:r>
              <w:rPr>
                <w:rFonts w:ascii="Open Sans;sans-serif" w:hAnsi="Open Sans;sans-serif"/>
                <w:b/>
                <w:color w:val="000000"/>
                <w:sz w:val="14"/>
              </w:rPr>
              <w:t>Filing Date</w:t>
            </w:r>
          </w:p>
        </w:tc>
      </w:tr>
      <w:tr>
        <w:trPr/>
        <w:tc>
          <w:tcPr>
            <w:tcW w:w="6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5" w:type="dxa"/>
            <w:gridSpan w:val="3"/>
            <w:tcBorders/>
            <w:vAlign w:val="center"/>
          </w:tcPr>
          <w:p>
            <w:pPr>
              <w:pStyle w:val="TableContents"/>
              <w:bidi w:val="0"/>
              <w:spacing w:before="0" w:after="283"/>
              <w:jc w:val="left"/>
              <w:rPr>
                <w:sz w:val="4"/>
                <w:szCs w:val="4"/>
              </w:rPr>
            </w:pPr>
            <w:r>
              <w:rPr>
                <w:sz w:val="4"/>
                <w:szCs w:val="4"/>
              </w:rPr>
            </w:r>
          </w:p>
        </w:tc>
      </w:tr>
      <w:tr>
        <w:trPr/>
        <w:tc>
          <w:tcPr>
            <w:tcW w:w="66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Open Sans;sans-serif" w:hAnsi="Open Sans;sans-serif"/>
                <w:b w:val="false"/>
                <w:color w:val="000000"/>
                <w:sz w:val="16"/>
              </w:rPr>
            </w:pPr>
            <w:r>
              <w:rPr>
                <w:rFonts w:ascii="Open Sans;sans-serif" w:hAnsi="Open Sans;sans-serif"/>
                <w:b w:val="false"/>
                <w:color w:val="000000"/>
                <w:sz w:val="16"/>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Open Sans;sans-serif" w:hAnsi="Open Sans;sans-serif"/>
                  <w:b w:val="false"/>
                  <w:color w:val="0000FF"/>
                  <w:sz w:val="16"/>
                  <w:u w:val="single"/>
                </w:rPr>
                <w:t>Amendment No. 27 to the Master Services Agreement by and between the Registrant and Block, Inc. dated January 22, 2026.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Open Sans;sans-serif" w:hAnsi="Open Sans;sans-serif"/>
                <w:b w:val="false"/>
                <w:color w:val="000000"/>
                <w:sz w:val="16"/>
              </w:rPr>
            </w:pPr>
            <w:r>
              <w:rPr>
                <w:rFonts w:ascii="Open Sans;sans-serif" w:hAnsi="Open Sans;sans-serif"/>
                <w:b w:val="false"/>
                <w:color w:val="000000"/>
                <w:sz w:val="16"/>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6"/>
              </w:rPr>
            </w:pPr>
            <w:r>
              <w:rPr>
                <w:rFonts w:ascii="Open Sans;sans-serif" w:hAnsi="Open Sans;sans-serif"/>
                <w:b w:val="false"/>
                <w:color w:val="000000"/>
                <w:sz w:val="16"/>
              </w:rPr>
              <w:t>001-40465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Open Sans;sans-serif" w:hAnsi="Open Sans;sans-serif"/>
                <w:b w:val="false"/>
                <w:color w:val="000000"/>
                <w:sz w:val="16"/>
              </w:rPr>
            </w:pPr>
            <w:r>
              <w:rPr>
                <w:rFonts w:ascii="Open Sans;sans-serif" w:hAnsi="Open Sans;sans-serif"/>
                <w:b w:val="false"/>
                <w:color w:val="000000"/>
                <w:sz w:val="16"/>
              </w:rPr>
              <w:t>10.20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Open Sans;sans-serif" w:hAnsi="Open Sans;sans-serif"/>
                <w:b w:val="false"/>
                <w:color w:val="000000"/>
                <w:sz w:val="16"/>
              </w:rPr>
            </w:pPr>
            <w:r>
              <w:rPr>
                <w:rFonts w:ascii="Open Sans;sans-serif" w:hAnsi="Open Sans;sans-serif"/>
                <w:b w:val="false"/>
                <w:color w:val="000000"/>
                <w:sz w:val="16"/>
              </w:rPr>
              <w:t>2/24/26</w:t>
            </w:r>
          </w:p>
        </w:tc>
      </w:tr>
      <w:tr>
        <w:trPr/>
        <w:tc>
          <w:tcPr>
            <w:tcW w:w="66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Open Sans;sans-serif" w:hAnsi="Open Sans;sans-serif"/>
                <w:b w:val="false"/>
                <w:color w:val="000000"/>
                <w:sz w:val="16"/>
              </w:rPr>
            </w:pPr>
            <w:r>
              <w:rPr>
                <w:rFonts w:ascii="Open Sans;sans-serif" w:hAnsi="Open Sans;sans-serif"/>
                <w:b w:val="false"/>
                <w:color w:val="000000"/>
                <w:sz w:val="16"/>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Open Sans;sans-serif" w:hAnsi="Open Sans;sans-serif"/>
                  <w:b w:val="false"/>
                  <w:color w:val="0000FF"/>
                  <w:sz w:val="16"/>
                  <w:u w:val="single"/>
                </w:rPr>
                <w:t>Tenth Amendment to the Amended and Restated Card Program Manager Agreement by and between the Registrant and Sutton Bank, effective as of January 15, 2026.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Open Sans;sans-serif" w:hAnsi="Open Sans;sans-serif"/>
                <w:b w:val="false"/>
                <w:color w:val="000000"/>
                <w:sz w:val="16"/>
              </w:rPr>
            </w:pPr>
            <w:r>
              <w:rPr>
                <w:rFonts w:ascii="Open Sans;sans-serif" w:hAnsi="Open Sans;sans-serif"/>
                <w:b w:val="false"/>
                <w:color w:val="000000"/>
                <w:sz w:val="16"/>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6"/>
              </w:rPr>
            </w:pPr>
            <w:r>
              <w:rPr>
                <w:rFonts w:ascii="Open Sans;sans-serif" w:hAnsi="Open Sans;sans-serif"/>
                <w:b w:val="false"/>
                <w:color w:val="000000"/>
                <w:sz w:val="16"/>
              </w:rPr>
              <w:t>001-40465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Open Sans;sans-serif" w:hAnsi="Open Sans;sans-serif"/>
                <w:b w:val="false"/>
                <w:color w:val="000000"/>
                <w:sz w:val="16"/>
              </w:rPr>
            </w:pPr>
            <w:r>
              <w:rPr>
                <w:rFonts w:ascii="Open Sans;sans-serif" w:hAnsi="Open Sans;sans-serif"/>
                <w:b w:val="false"/>
                <w:color w:val="000000"/>
                <w:sz w:val="16"/>
              </w:rPr>
              <w:t>10.32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Open Sans;sans-serif" w:hAnsi="Open Sans;sans-serif"/>
                <w:b w:val="false"/>
                <w:color w:val="000000"/>
                <w:sz w:val="16"/>
              </w:rPr>
            </w:pPr>
            <w:r>
              <w:rPr>
                <w:rFonts w:ascii="Open Sans;sans-serif" w:hAnsi="Open Sans;sans-serif"/>
                <w:b w:val="false"/>
                <w:color w:val="000000"/>
                <w:sz w:val="16"/>
              </w:rPr>
              <w:t>2/24/26</w:t>
            </w:r>
          </w:p>
        </w:tc>
      </w:tr>
      <w:tr>
        <w:trPr/>
        <w:tc>
          <w:tcPr>
            <w:tcW w:w="66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Open Sans;sans-serif" w:hAnsi="Open Sans;sans-serif"/>
                <w:b w:val="false"/>
                <w:color w:val="000000"/>
                <w:sz w:val="16"/>
              </w:rPr>
            </w:pPr>
            <w:r>
              <w:rPr>
                <w:rFonts w:ascii="Open Sans;sans-serif" w:hAnsi="Open Sans;sans-serif"/>
                <w:b w:val="false"/>
                <w:color w:val="000000"/>
                <w:sz w:val="16"/>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Open Sans;sans-serif" w:hAnsi="Open Sans;sans-serif"/>
                  <w:b w:val="false"/>
                  <w:color w:val="000080"/>
                  <w:sz w:val="16"/>
                  <w:u w:val="single"/>
                </w:rPr>
                <w:t>Ninth</w:t>
              </w:r>
            </w:hyperlink>
            <w:hyperlink r:id="rId5">
              <w:r>
                <w:rPr>
                  <w:rStyle w:val="InternetLink"/>
                  <w:rFonts w:ascii="Open Sans;sans-serif" w:hAnsi="Open Sans;sans-serif"/>
                  <w:b w:val="false"/>
                  <w:color w:val="000080"/>
                  <w:sz w:val="16"/>
                  <w:u w:val="single"/>
                </w:rPr>
                <w:t xml:space="preserve"> Amendment to the Amended and Restated Card Program Manager Agreement by and between the Registrant and Sutton Bank, effective as of January 15, 2026.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Open Sans;sans-serif" w:hAnsi="Open Sans;sans-serif"/>
                <w:b w:val="false"/>
                <w:color w:val="000000"/>
                <w:sz w:val="16"/>
              </w:rPr>
            </w:pPr>
            <w:r>
              <w:rPr>
                <w:rFonts w:ascii="Open Sans;sans-serif" w:hAnsi="Open Sans;sans-serif"/>
                <w:b w:val="false"/>
                <w:color w:val="000000"/>
                <w:sz w:val="16"/>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6"/>
              </w:rPr>
            </w:pPr>
            <w:r>
              <w:rPr>
                <w:rFonts w:ascii="Open Sans;sans-serif" w:hAnsi="Open Sans;sans-serif"/>
                <w:b w:val="false"/>
                <w:color w:val="000000"/>
                <w:sz w:val="16"/>
              </w:rPr>
              <w:t>001-40465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Open Sans;sans-serif" w:hAnsi="Open Sans;sans-serif"/>
                <w:b w:val="false"/>
                <w:color w:val="000000"/>
                <w:sz w:val="16"/>
              </w:rPr>
            </w:pPr>
            <w:r>
              <w:rPr>
                <w:rFonts w:ascii="Open Sans;sans-serif" w:hAnsi="Open Sans;sans-serif"/>
                <w:b w:val="false"/>
                <w:color w:val="000000"/>
                <w:sz w:val="16"/>
              </w:rPr>
              <w:t>10.33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Open Sans;sans-serif" w:hAnsi="Open Sans;sans-serif"/>
                <w:b w:val="false"/>
                <w:color w:val="000000"/>
                <w:sz w:val="16"/>
              </w:rPr>
            </w:pPr>
            <w:r>
              <w:rPr>
                <w:rFonts w:ascii="Open Sans;sans-serif" w:hAnsi="Open Sans;sans-serif"/>
                <w:b w:val="false"/>
                <w:color w:val="000000"/>
                <w:sz w:val="16"/>
              </w:rPr>
              <w:t>2/24/26</w:t>
            </w:r>
          </w:p>
        </w:tc>
      </w:tr>
      <w:tr>
        <w:trPr/>
        <w:tc>
          <w:tcPr>
            <w:tcW w:w="6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6"/>
              </w:rPr>
            </w:pPr>
            <w:r>
              <w:rPr>
                <w:rFonts w:ascii="Open Sans;sans-serif" w:hAnsi="Open Sans;sans-serif"/>
                <w:b w:val="false"/>
                <w:color w:val="000000"/>
                <w:sz w:val="16"/>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1q12026.htm">
              <w:r>
                <w:rPr>
                  <w:rStyle w:val="InternetLink"/>
                  <w:rFonts w:ascii="Open Sans;sans-serif" w:hAnsi="Open Sans;sans-serif"/>
                  <w:b w:val="false"/>
                  <w:color w:val="000080"/>
                  <w:sz w:val="16"/>
                  <w:u w:val="single"/>
                </w:rPr>
                <w:t>Certification of the Principal Executive</w:t>
              </w:r>
            </w:hyperlink>
            <w:hyperlink w:anchor="exhibit311q12026.htm">
              <w:r>
                <w:rPr>
                  <w:rStyle w:val="InternetLink"/>
                  <w:rFonts w:ascii="Open Sans;sans-serif" w:hAnsi="Open Sans;sans-serif"/>
                  <w:b w:val="false"/>
                  <w:color w:val="000080"/>
                  <w:sz w:val="16"/>
                  <w:u w:val="single"/>
                </w:rPr>
                <w:t xml:space="preserve"> Officer</w:t>
              </w:r>
            </w:hyperlink>
            <w:hyperlink w:anchor="exhibit311q12026.htm">
              <w:r>
                <w:rPr>
                  <w:rStyle w:val="InternetLink"/>
                  <w:rFonts w:ascii="Open Sans;sans-serif" w:hAnsi="Open Sans;sans-serif"/>
                  <w:b w:val="false"/>
                  <w:color w:val="000080"/>
                  <w:sz w:val="16"/>
                  <w:u w:val="single"/>
                </w:rPr>
                <w:t>, pursuant to Rules 13a-14(a) and 15d-14(a) under the Exchange Act,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6"/>
              </w:rPr>
            </w:pPr>
            <w:r>
              <w:rPr>
                <w:rFonts w:ascii="Open Sans;sans-serif" w:hAnsi="Open Sans;sans-serif"/>
                <w:b w:val="false"/>
                <w:color w:val="000000"/>
                <w:sz w:val="16"/>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2q12026.htm">
              <w:r>
                <w:rPr>
                  <w:rStyle w:val="InternetLink"/>
                  <w:rFonts w:ascii="Open Sans;sans-serif" w:hAnsi="Open Sans;sans-serif"/>
                  <w:b w:val="false"/>
                  <w:color w:val="0000FF"/>
                  <w:sz w:val="16"/>
                  <w:u w:val="single"/>
                </w:rPr>
                <w:t>Certification of the Principal Financial Officer, pursuant to Rules 13a-14(a) and 15d-14(a) under the Exchange Act,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6"/>
              </w:rPr>
            </w:pPr>
            <w:r>
              <w:rPr>
                <w:rFonts w:ascii="Open Sans;sans-serif" w:hAnsi="Open Sans;sans-serif"/>
                <w:b w:val="false"/>
                <w:color w:val="000000"/>
                <w:sz w:val="16"/>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1q12026.htm">
              <w:r>
                <w:rPr>
                  <w:rStyle w:val="InternetLink"/>
                  <w:rFonts w:ascii="Open Sans;sans-serif" w:hAnsi="Open Sans;sans-serif"/>
                  <w:b w:val="false"/>
                  <w:color w:val="000080"/>
                  <w:sz w:val="16"/>
                  <w:u w:val="single"/>
                </w:rPr>
                <w:t>Certification of the Principal Executive</w:t>
              </w:r>
            </w:hyperlink>
            <w:hyperlink w:anchor="exhibit321q12026.htm">
              <w:r>
                <w:rPr>
                  <w:rStyle w:val="InternetLink"/>
                  <w:rFonts w:ascii="Open Sans;sans-serif" w:hAnsi="Open Sans;sans-serif"/>
                  <w:b w:val="false"/>
                  <w:color w:val="000080"/>
                  <w:sz w:val="16"/>
                  <w:u w:val="single"/>
                </w:rPr>
                <w:t xml:space="preserve"> Officer</w:t>
              </w:r>
            </w:hyperlink>
            <w:hyperlink w:anchor="exhibit321q12026.htm">
              <w:r>
                <w:rPr>
                  <w:rStyle w:val="InternetLink"/>
                  <w:rFonts w:ascii="Open Sans;sans-serif" w:hAnsi="Open Sans;sans-serif"/>
                  <w:b w:val="false"/>
                  <w:color w:val="000080"/>
                  <w:sz w:val="16"/>
                  <w:u w:val="single"/>
                </w:rPr>
                <w:t>,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6"/>
              </w:rPr>
            </w:pPr>
            <w:r>
              <w:rPr>
                <w:rFonts w:ascii="Open Sans;sans-serif" w:hAnsi="Open Sans;sans-serif"/>
                <w:b w:val="false"/>
                <w:color w:val="000000"/>
                <w:sz w:val="16"/>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2q12026.htm">
              <w:r>
                <w:rPr>
                  <w:rStyle w:val="InternetLink"/>
                  <w:rFonts w:ascii="Open Sans;sans-serif" w:hAnsi="Open Sans;sans-serif"/>
                  <w:b w:val="false"/>
                  <w:color w:val="0000FF"/>
                  <w:sz w:val="16"/>
                  <w:u w:val="single"/>
                </w:rPr>
                <w:t>Certification of the Principal Financial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6"/>
              </w:rPr>
            </w:pPr>
            <w:r>
              <w:rPr>
                <w:rFonts w:ascii="Open Sans;sans-serif" w:hAnsi="Open Sans;sans-serif"/>
                <w:b w:val="false"/>
                <w:color w:val="000000"/>
                <w:sz w:val="16"/>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Inline XBRL Instance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6"/>
              </w:rPr>
            </w:pPr>
            <w:r>
              <w:rPr>
                <w:rFonts w:ascii="Open Sans;sans-serif" w:hAnsi="Open Sans;sans-serif"/>
                <w:b w:val="false"/>
                <w:color w:val="000000"/>
                <w:sz w:val="16"/>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Inline 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6"/>
              </w:rPr>
            </w:pPr>
            <w:r>
              <w:rPr>
                <w:rFonts w:ascii="Open Sans;sans-serif" w:hAnsi="Open Sans;sans-serif"/>
                <w:b w:val="false"/>
                <w:color w:val="000000"/>
                <w:sz w:val="16"/>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Inline 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6"/>
              </w:rPr>
            </w:pPr>
            <w:r>
              <w:rPr>
                <w:rFonts w:ascii="Open Sans;sans-serif" w:hAnsi="Open Sans;sans-serif"/>
                <w:b w:val="false"/>
                <w:color w:val="000000"/>
                <w:sz w:val="16"/>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Inline 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6"/>
              </w:rPr>
            </w:pPr>
            <w:r>
              <w:rPr>
                <w:rFonts w:ascii="Open Sans;sans-serif" w:hAnsi="Open Sans;sans-serif"/>
                <w:b w:val="false"/>
                <w:color w:val="000000"/>
                <w:sz w:val="16"/>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Inline XBRL Taxonomy Extension Labels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6"/>
              </w:rPr>
            </w:pPr>
            <w:r>
              <w:rPr>
                <w:rFonts w:ascii="Open Sans;sans-serif" w:hAnsi="Open Sans;sans-serif"/>
                <w:b w:val="false"/>
                <w:color w:val="000000"/>
                <w:sz w:val="16"/>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Inline XBRL Taxonomy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6"/>
              </w:rPr>
            </w:pPr>
            <w:r>
              <w:rPr>
                <w:rFonts w:ascii="Open Sans;sans-serif" w:hAnsi="Open Sans;sans-serif"/>
                <w:b w:val="false"/>
                <w:color w:val="000000"/>
                <w:sz w:val="16"/>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Cover Page Interactive Data File (formatted as inline XBRL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 w:type="dxa"/>
            <w:gridSpan w:val="3"/>
            <w:tcBorders/>
            <w:tcMar>
              <w:top w:w="0" w:type="dxa"/>
              <w:left w:w="0" w:type="dxa"/>
              <w:bottom w:w="0" w:type="dxa"/>
              <w:right w:w="0" w:type="dxa"/>
            </w:tcMar>
            <w:vAlign w:val="center"/>
          </w:tcPr>
          <w:p>
            <w:pPr>
              <w:pStyle w:val="TableContents"/>
              <w:bidi w:val="0"/>
              <w:spacing w:lineRule="auto" w:line="268" w:before="0" w:after="0"/>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6"/>
              </w:rPr>
            </w:pPr>
            <w:r>
              <w:rPr>
                <w:rFonts w:ascii="Open Sans;sans-serif" w:hAnsi="Open Sans;sans-serif"/>
                <w:b w:val="false"/>
                <w:color w:val="000000"/>
                <w:sz w:val="16"/>
              </w:rPr>
              <w:t>Certain confidential information contained in this exhibit has been omitted because it is both (i) not material and (ii) is the type that the Registrant treats as private or confidential.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Open Sans;sans-serif" w:hAnsi="Open Sans;sans-serif"/>
                <w:b w:val="false"/>
                <w:color w:val="000000"/>
                <w:sz w:val="16"/>
              </w:rPr>
            </w:pPr>
            <w:r>
              <w:rPr>
                <w:rFonts w:ascii="Open Sans;sans-serif" w:hAnsi="Open Sans;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6"/>
              </w:rPr>
            </w:pPr>
            <w:r>
              <w:rPr>
                <w:rFonts w:ascii="Open Sans;sans-serif" w:hAnsi="Open Sans;sans-serif"/>
                <w:b w:val="false"/>
                <w:color w:val="000000"/>
                <w:sz w:val="16"/>
              </w:rPr>
              <w:t>Indicates management contract or compensatory plan, contract or agreement.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6"/>
              </w:rPr>
            </w:pPr>
            <w:r>
              <w:rPr>
                <w:rFonts w:ascii="Open Sans;sans-serif" w:hAnsi="Open Sans;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Filed herewith.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6"/>
              </w:rPr>
            </w:pPr>
            <w:r>
              <w:rPr>
                <w:rFonts w:ascii="Open Sans;sans-serif" w:hAnsi="Open Sans;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Furnished herewith. The certifications attached as Exhibits 32.1 and 32.2 that accompany this Quarterly Report on Form 10-Q are deemed furnished and not filed with the SEC and are not to be incorporated by reference into any filing of the Company under the Securities Act or the Exchange Act, whether made before or after the date of this Quarterly Report on Form 10-Q, irrespective of any general incorporation language contained in such filing.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7955"/>
                <wp:effectExtent l="0" t="0" r="0" b="0"/>
                <wp:wrapNone/>
                <wp:docPr id="42" name="Frame42"/>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left"/>
                              <w:rPr>
                                <w:rFonts w:ascii="Open Sans;sans-serif" w:hAnsi="Open Sans;sans-serif"/>
                                <w:b w:val="false"/>
                                <w:color w:val="000000"/>
                                <w:sz w:val="20"/>
                              </w:rPr>
                            </w:pPr>
                            <w:r>
                              <w:rPr>
                                <w:rFonts w:ascii="Open Sans;sans-serif" w:hAnsi="Open Sans;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Open Sans;sans-serif" w:hAnsi="Open Sans;sans-serif"/>
                          <w:b w:val="false"/>
                          <w:color w:val="000000"/>
                          <w:sz w:val="20"/>
                        </w:rPr>
                      </w:pPr>
                      <w:r>
                        <w:rPr>
                          <w:rFonts w:ascii="Open Sans;sans-serif" w:hAnsi="Open Sans;sans-serif"/>
                          <w:b w:val="false"/>
                          <w:color w:val="000000"/>
                          <w:sz w:val="20"/>
                        </w:rPr>
                        <w:t>42</w:t>
                      </w:r>
                    </w:p>
                  </w:txbxContent>
                </v:textbox>
                <w10:wrap type="none"/>
              </v:rect>
            </w:pict>
          </mc:Fallback>
        </mc:AlternateContent>
      </w:r>
    </w:p>
    <w:p>
      <w:pPr>
        <w:pStyle w:val="TextBody"/>
        <w:bidi w:val="0"/>
        <w:spacing w:lineRule="auto" w:line="288" w:before="0" w:after="60"/>
        <w:jc w:val="left"/>
        <w:rPr/>
      </w:pPr>
      <w:hyperlink w:anchor="i86ce94018fb640d7903f0edbc68bd8af_7">
        <w:r>
          <w:rPr>
            <w:rStyle w:val="InternetLink"/>
            <w:rFonts w:ascii="Open Sans;sans-serif" w:hAnsi="Open Sans;sans-serif"/>
            <w:b w:val="false"/>
            <w:color w:val="0000FF"/>
            <w:sz w:val="18"/>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Open Sans;sans-serif" w:hAnsi="Open Sans;sans-serif"/>
          <w:b/>
          <w:color w:val="231F20"/>
          <w:sz w:val="20"/>
        </w:rPr>
      </w:pPr>
      <w:r>
        <w:rPr>
          <w:rFonts w:ascii="Open Sans;sans-serif" w:hAnsi="Open Sans;sans-serif"/>
          <w:b/>
          <w:color w:val="231F20"/>
          <w:sz w:val="20"/>
        </w:rPr>
        <w:t>SIGNATURES</w:t>
      </w:r>
    </w:p>
    <w:p>
      <w:pPr>
        <w:pStyle w:val="TextBody"/>
        <w:bidi w:val="0"/>
        <w:spacing w:lineRule="auto" w:line="288" w:before="240" w:after="283"/>
        <w:jc w:val="both"/>
        <w:rPr>
          <w:rFonts w:ascii="Open Sans;sans-serif" w:hAnsi="Open Sans;sans-serif"/>
          <w:b w:val="false"/>
          <w:color w:val="000000"/>
          <w:sz w:val="18"/>
        </w:rPr>
      </w:pPr>
      <w:r>
        <w:rPr>
          <w:rFonts w:ascii="Open Sans;sans-serif" w:hAnsi="Open Sans;sans-serif"/>
          <w:b w:val="false"/>
          <w:color w:val="000000"/>
          <w:sz w:val="18"/>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r>
    </w:p>
    <w:tbl>
      <w:tblPr>
        <w:tblW w:w="8255" w:type="dxa"/>
        <w:jc w:val="left"/>
        <w:tblInd w:w="0" w:type="dxa"/>
        <w:tblLayout w:type="fixed"/>
        <w:tblCellMar>
          <w:top w:w="28" w:type="dxa"/>
          <w:left w:w="28" w:type="dxa"/>
          <w:bottom w:w="28" w:type="dxa"/>
          <w:right w:w="28" w:type="dxa"/>
        </w:tblCellMar>
      </w:tblPr>
      <w:tblGrid>
        <w:gridCol w:w="679"/>
        <w:gridCol w:w="595"/>
        <w:gridCol w:w="601"/>
        <w:gridCol w:w="254"/>
        <w:gridCol w:w="254"/>
        <w:gridCol w:w="256"/>
        <w:gridCol w:w="177"/>
        <w:gridCol w:w="177"/>
        <w:gridCol w:w="177"/>
        <w:gridCol w:w="1471"/>
        <w:gridCol w:w="1471"/>
        <w:gridCol w:w="2143"/>
      </w:tblGrid>
      <w:tr>
        <w:trPr/>
        <w:tc>
          <w:tcPr>
            <w:tcW w:w="679"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2143"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8"/>
              </w:rPr>
            </w:pPr>
            <w:r>
              <w:rPr>
                <w:rFonts w:ascii="Open Sans;sans-serif" w:hAnsi="Open Sans;sans-serif"/>
                <w:b/>
                <w:color w:val="000000"/>
                <w:sz w:val="18"/>
              </w:rPr>
              <w:t>MARQETA, INC.</w:t>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Open Sans;sans-serif" w:hAnsi="Open Sans;sans-serif"/>
                <w:b/>
                <w:color w:val="000000"/>
                <w:sz w:val="18"/>
              </w:rPr>
              <w:t>Date:</w:t>
            </w:r>
            <w:r>
              <w:rPr>
                <w:color w:val="000000"/>
              </w:rPr>
              <w:t xml:space="preserve"> </w:t>
            </w:r>
            <w:r>
              <w:rPr>
                <w:rFonts w:ascii="Open Sans;sans-serif" w:hAnsi="Open Sans;sans-serif"/>
                <w:b w:val="false"/>
                <w:color w:val="000000"/>
                <w:sz w:val="18"/>
              </w:rPr>
              <w:t>May 5, 2026</w:t>
            </w:r>
          </w:p>
        </w:tc>
        <w:tc>
          <w:tcPr>
            <w:tcW w:w="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8"/>
              </w:rPr>
            </w:pPr>
            <w:r>
              <w:rPr>
                <w:rFonts w:ascii="Open Sans;sans-serif" w:hAnsi="Open Sans;sans-serif"/>
                <w:b/>
                <w:color w:val="000000"/>
                <w:sz w:val="18"/>
              </w:rPr>
              <w:t>By:</w:t>
            </w:r>
          </w:p>
        </w:tc>
        <w:tc>
          <w:tcPr>
            <w:tcW w:w="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8"/>
              </w:rPr>
            </w:pPr>
            <w:r>
              <w:rPr>
                <w:rFonts w:ascii="Open Sans;sans-serif" w:hAnsi="Open Sans;sans-serif"/>
                <w:b w:val="false"/>
                <w:color w:val="000000"/>
                <w:sz w:val="18"/>
              </w:rPr>
              <w:t>/s/ Patti Kangwankij</w:t>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8"/>
              </w:rPr>
            </w:pPr>
            <w:r>
              <w:rPr>
                <w:rFonts w:ascii="Open Sans;sans-serif" w:hAnsi="Open Sans;sans-serif"/>
                <w:b/>
                <w:color w:val="000000"/>
                <w:sz w:val="18"/>
              </w:rPr>
              <w:t>Name:</w:t>
            </w:r>
          </w:p>
        </w:tc>
        <w:tc>
          <w:tcPr>
            <w:tcW w:w="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8"/>
              </w:rPr>
            </w:pPr>
            <w:r>
              <w:rPr>
                <w:rFonts w:ascii="Open Sans;sans-serif" w:hAnsi="Open Sans;sans-serif"/>
                <w:b w:val="false"/>
                <w:color w:val="000000"/>
                <w:sz w:val="18"/>
              </w:rPr>
              <w:t>Patti Kangwankij</w:t>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8"/>
              </w:rPr>
            </w:pPr>
            <w:r>
              <w:rPr>
                <w:rFonts w:ascii="Open Sans;sans-serif" w:hAnsi="Open Sans;sans-serif"/>
                <w:b/>
                <w:color w:val="000000"/>
                <w:sz w:val="18"/>
              </w:rPr>
              <w:t>Title:</w:t>
            </w:r>
          </w:p>
        </w:tc>
        <w:tc>
          <w:tcPr>
            <w:tcW w:w="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Open Sans;sans-serif" w:hAnsi="Open Sans;sans-serif"/>
                <w:b w:val="false"/>
                <w:color w:val="000000"/>
                <w:sz w:val="18"/>
              </w:rPr>
            </w:pPr>
            <w:r>
              <w:rPr>
                <w:rFonts w:ascii="Open Sans;sans-serif" w:hAnsi="Open Sans;sans-serif"/>
                <w:b w:val="false"/>
                <w:color w:val="000000"/>
                <w:sz w:val="18"/>
              </w:rPr>
              <w:t>Chief Financial Officer (Principal Financial Officer)</w:t>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Open Sans;sans-serif" w:hAnsi="Open Sans;sans-serif"/>
                <w:b/>
                <w:color w:val="000000"/>
                <w:sz w:val="18"/>
              </w:rPr>
              <w:t>Date:</w:t>
            </w:r>
            <w:r>
              <w:rPr>
                <w:color w:val="000000"/>
              </w:rPr>
              <w:t xml:space="preserve"> </w:t>
            </w:r>
            <w:r>
              <w:rPr>
                <w:rFonts w:ascii="Open Sans;sans-serif" w:hAnsi="Open Sans;sans-serif"/>
                <w:b w:val="false"/>
                <w:color w:val="000000"/>
                <w:sz w:val="18"/>
              </w:rPr>
              <w:t>May 5, 2026</w:t>
            </w:r>
          </w:p>
        </w:tc>
        <w:tc>
          <w:tcPr>
            <w:tcW w:w="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8"/>
              </w:rPr>
            </w:pPr>
            <w:r>
              <w:rPr>
                <w:rFonts w:ascii="Open Sans;sans-serif" w:hAnsi="Open Sans;sans-serif"/>
                <w:b/>
                <w:color w:val="000000"/>
                <w:sz w:val="18"/>
              </w:rPr>
              <w:t>By:</w:t>
            </w:r>
          </w:p>
        </w:tc>
        <w:tc>
          <w:tcPr>
            <w:tcW w:w="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8"/>
              </w:rPr>
            </w:pPr>
            <w:r>
              <w:rPr>
                <w:rFonts w:ascii="Open Sans;sans-serif" w:hAnsi="Open Sans;sans-serif"/>
                <w:b w:val="false"/>
                <w:color w:val="000000"/>
                <w:sz w:val="18"/>
              </w:rPr>
              <w:t>/s/ Sarah Barkema</w:t>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8"/>
              </w:rPr>
            </w:pPr>
            <w:r>
              <w:rPr>
                <w:rFonts w:ascii="Open Sans;sans-serif" w:hAnsi="Open Sans;sans-serif"/>
                <w:b/>
                <w:color w:val="000000"/>
                <w:sz w:val="18"/>
              </w:rPr>
              <w:t>Name:</w:t>
            </w:r>
          </w:p>
        </w:tc>
        <w:tc>
          <w:tcPr>
            <w:tcW w:w="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8"/>
              </w:rPr>
            </w:pPr>
            <w:r>
              <w:rPr>
                <w:rFonts w:ascii="Open Sans;sans-serif" w:hAnsi="Open Sans;sans-serif"/>
                <w:b w:val="false"/>
                <w:color w:val="000000"/>
                <w:sz w:val="18"/>
              </w:rPr>
              <w:t>Sarah Barkema</w:t>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8"/>
              </w:rPr>
            </w:pPr>
            <w:r>
              <w:rPr>
                <w:rFonts w:ascii="Open Sans;sans-serif" w:hAnsi="Open Sans;sans-serif"/>
                <w:b/>
                <w:color w:val="000000"/>
                <w:sz w:val="18"/>
              </w:rPr>
              <w:t>Title:</w:t>
            </w:r>
          </w:p>
        </w:tc>
        <w:tc>
          <w:tcPr>
            <w:tcW w:w="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Open Sans;sans-serif" w:hAnsi="Open Sans;sans-serif"/>
                <w:b w:val="false"/>
                <w:color w:val="000000"/>
                <w:sz w:val="18"/>
              </w:rPr>
            </w:pPr>
            <w:r>
              <w:rPr>
                <w:rFonts w:ascii="Open Sans;sans-serif" w:hAnsi="Open Sans;sans-serif"/>
                <w:b w:val="false"/>
                <w:color w:val="000000"/>
                <w:sz w:val="18"/>
              </w:rPr>
              <w:t>Chief Accounting Officer (Principal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7955"/>
                <wp:effectExtent l="0" t="0" r="0" b="0"/>
                <wp:wrapNone/>
                <wp:docPr id="43" name="Frame43"/>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43</w:t>
                      </w:r>
                    </w:p>
                  </w:txbxContent>
                </v:textbox>
                <w10:wrap type="none"/>
              </v:rect>
            </w:pict>
          </mc:Fallback>
        </mc:AlternateContent>
      </w:r>
    </w:p>
    <w:p>
      <w:pPr>
        <w:pStyle w:val="TextBody"/>
        <w:bidi w:val="0"/>
        <w:spacing w:lineRule="auto" w:line="288" w:before="0" w:after="0"/>
        <w:jc w:val="left"/>
        <w:rPr>
          <w:rFonts w:ascii="Open Sans;sans-serif" w:hAnsi="Open Sans;sans-serif"/>
          <w:b/>
          <w:color w:val="000000"/>
          <w:sz w:val="20"/>
        </w:rPr>
      </w:pPr>
      <w:r>
        <w:rPr>
          <w:rFonts w:ascii="Open Sans;sans-serif" w:hAnsi="Open Sans;sans-serif"/>
          <w:b/>
          <w:color w:val="000000"/>
          <w:sz w:val="20"/>
        </w:rPr>
        <w:t>Exhibit 31.1</w:t>
      </w:r>
    </w:p>
    <w:p>
      <w:pPr>
        <w:pStyle w:val="TextBody"/>
        <w:bidi w:val="0"/>
        <w:spacing w:lineRule="auto" w:line="288" w:before="240" w:after="283"/>
        <w:jc w:val="center"/>
        <w:rPr>
          <w:rFonts w:ascii="Open Sans;sans-serif" w:hAnsi="Open Sans;sans-serif"/>
          <w:b/>
          <w:color w:val="000000"/>
          <w:sz w:val="20"/>
        </w:rPr>
      </w:pPr>
      <w:r>
        <w:rPr>
          <w:rFonts w:ascii="Open Sans;sans-serif" w:hAnsi="Open Sans;sans-serif"/>
          <w:b/>
          <w:color w:val="000000"/>
          <w:sz w:val="20"/>
        </w:rPr>
        <w:t>CERTIFICATION OF PRINCIPAL EXECUTIVE OFFICER</w:t>
      </w:r>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PURSUANT TO</w:t>
      </w:r>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SECURITIES EXCHANGE ACT OF 1934 RULES 13a-14(a) AND 15d-14(a),</w:t>
      </w:r>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AS ADOPTED PURSUANT TO</w:t>
      </w:r>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SECTION 302 OF THE SARBANES-OXLEY ACT OF 2002</w:t>
      </w:r>
    </w:p>
    <w:p>
      <w:pPr>
        <w:pStyle w:val="TextBody"/>
        <w:bidi w:val="0"/>
        <w:spacing w:lineRule="auto" w:line="288" w:before="120" w:after="283"/>
        <w:jc w:val="left"/>
        <w:rPr>
          <w:rFonts w:ascii="Open Sans;sans-serif" w:hAnsi="Open Sans;sans-serif"/>
          <w:b w:val="false"/>
          <w:color w:val="000000"/>
          <w:sz w:val="20"/>
        </w:rPr>
      </w:pPr>
      <w:r>
        <w:rPr>
          <w:rFonts w:ascii="Open Sans;sans-serif" w:hAnsi="Open Sans;sans-serif"/>
          <w:b w:val="false"/>
          <w:color w:val="000000"/>
          <w:sz w:val="20"/>
        </w:rPr>
        <w:t>I, Michael (Mike) Milotich, certify that:</w:t>
      </w:r>
    </w:p>
    <w:p>
      <w:pPr>
        <w:pStyle w:val="TextBody"/>
        <w:bidi w:val="0"/>
        <w:spacing w:lineRule="auto" w:line="288" w:before="120" w:after="283"/>
        <w:jc w:val="both"/>
        <w:rPr/>
      </w:pPr>
      <w:r>
        <w:rPr>
          <w:rFonts w:ascii="Open Sans;sans-serif" w:hAnsi="Open Sans;sans-serif"/>
          <w:b w:val="false"/>
          <w:color w:val="000000"/>
          <w:sz w:val="20"/>
        </w:rPr>
        <w:t>1.</w:t>
      </w:r>
      <w:r>
        <w:rPr>
          <w:rFonts w:ascii="Open Sans;sans-serif" w:hAnsi="Open Sans;sans-serif"/>
          <w:b w:val="false"/>
          <w:color w:val="000000"/>
          <w:sz w:val="20"/>
        </w:rPr>
        <w:t>I have reviewed this quarterly report on Form 10-Q of Marqeta, Inc.;</w:t>
      </w:r>
    </w:p>
    <w:p>
      <w:pPr>
        <w:pStyle w:val="TextBody"/>
        <w:bidi w:val="0"/>
        <w:spacing w:lineRule="auto" w:line="288" w:before="120" w:after="283"/>
        <w:jc w:val="both"/>
        <w:rPr/>
      </w:pPr>
      <w:r>
        <w:rPr>
          <w:rFonts w:ascii="Open Sans;sans-serif" w:hAnsi="Open Sans;sans-serif"/>
          <w:b w:val="false"/>
          <w:color w:val="000000"/>
          <w:sz w:val="20"/>
        </w:rPr>
        <w:t>2.</w:t>
      </w:r>
      <w:r>
        <w:rPr>
          <w:rFonts w:ascii="Open Sans;sans-serif" w:hAnsi="Open Sans;sans-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jc w:val="both"/>
        <w:rPr/>
      </w:pPr>
      <w:r>
        <w:rPr>
          <w:rFonts w:ascii="Open Sans;sans-serif" w:hAnsi="Open Sans;sans-serif"/>
          <w:b w:val="false"/>
          <w:color w:val="000000"/>
          <w:sz w:val="20"/>
        </w:rPr>
        <w:t>3.</w:t>
      </w:r>
      <w:r>
        <w:rPr>
          <w:rFonts w:ascii="Open Sans;sans-serif" w:hAnsi="Open Sans;sans-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jc w:val="both"/>
        <w:rPr/>
      </w:pPr>
      <w:r>
        <w:rPr>
          <w:rFonts w:ascii="Open Sans;sans-serif" w:hAnsi="Open Sans;sans-serif"/>
          <w:b w:val="false"/>
          <w:color w:val="000000"/>
          <w:sz w:val="20"/>
        </w:rPr>
        <w:t>4.</w:t>
      </w:r>
      <w:r>
        <w:rPr>
          <w:rFonts w:ascii="Open Sans;sans-serif" w:hAnsi="Open Sans;sans-serif"/>
          <w:b w:val="false"/>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jc w:val="both"/>
        <w:rPr/>
      </w:pPr>
      <w:r>
        <w:rPr>
          <w:rFonts w:ascii="Open Sans;sans-serif" w:hAnsi="Open Sans;sans-serif"/>
          <w:b w:val="false"/>
          <w:color w:val="000000"/>
          <w:sz w:val="20"/>
        </w:rPr>
        <w:t>5.</w:t>
      </w:r>
      <w:r>
        <w:rPr>
          <w:rFonts w:ascii="Open Sans;sans-serif" w:hAnsi="Open Sans;sans-serif"/>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b.Any fraud, whether or not material, that involves management or other employees who have a significant role in the registrant’s internal control over financial reporting.</w:t>
      </w:r>
    </w:p>
    <w:tbl>
      <w:tblPr>
        <w:tblW w:w="5840" w:type="dxa"/>
        <w:jc w:val="left"/>
        <w:tblInd w:w="0" w:type="dxa"/>
        <w:tblLayout w:type="fixed"/>
        <w:tblCellMar>
          <w:top w:w="28" w:type="dxa"/>
          <w:left w:w="28" w:type="dxa"/>
          <w:bottom w:w="28" w:type="dxa"/>
          <w:right w:w="28" w:type="dxa"/>
        </w:tblCellMar>
      </w:tblPr>
      <w:tblGrid>
        <w:gridCol w:w="650"/>
        <w:gridCol w:w="572"/>
        <w:gridCol w:w="578"/>
        <w:gridCol w:w="109"/>
        <w:gridCol w:w="109"/>
        <w:gridCol w:w="109"/>
        <w:gridCol w:w="109"/>
        <w:gridCol w:w="109"/>
        <w:gridCol w:w="109"/>
        <w:gridCol w:w="129"/>
        <w:gridCol w:w="129"/>
        <w:gridCol w:w="131"/>
        <w:gridCol w:w="874"/>
        <w:gridCol w:w="874"/>
        <w:gridCol w:w="877"/>
        <w:gridCol w:w="109"/>
        <w:gridCol w:w="109"/>
        <w:gridCol w:w="154"/>
      </w:tblGrid>
      <w:tr>
        <w:trPr/>
        <w:tc>
          <w:tcPr>
            <w:tcW w:w="650"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0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8"/>
              </w:rPr>
            </w:pPr>
            <w:r>
              <w:rPr>
                <w:rFonts w:ascii="Open Sans;sans-serif" w:hAnsi="Open Sans;sans-serif"/>
                <w:b w:val="false"/>
                <w:color w:val="000000"/>
                <w:sz w:val="18"/>
              </w:rPr>
              <w:t>Date: May 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By:</w:t>
            </w:r>
          </w:p>
        </w:tc>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/s/ Michael (Mike) Milotich</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8"/>
              </w:rPr>
            </w:pPr>
            <w:r>
              <w:rPr>
                <w:rFonts w:ascii="Open Sans;sans-serif" w:hAnsi="Open Sans;sans-serif"/>
                <w:b w:val="false"/>
                <w:color w:val="000000"/>
                <w:sz w:val="18"/>
              </w:rPr>
              <w:t>Michael (Mike) Milotich</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Open Sans;sans-serif" w:hAnsi="Open Sans;sans-serif"/>
          <w:b/>
          <w:color w:val="000000"/>
          <w:sz w:val="20"/>
        </w:rPr>
      </w:pPr>
      <w:r>
        <w:rPr>
          <w:rFonts w:ascii="Open Sans;sans-serif" w:hAnsi="Open Sans;sans-serif"/>
          <w:b/>
          <w:color w:val="000000"/>
          <w:sz w:val="20"/>
        </w:rPr>
        <w:t>Exhibit 31.2</w:t>
      </w:r>
    </w:p>
    <w:p>
      <w:pPr>
        <w:pStyle w:val="TextBody"/>
        <w:bidi w:val="0"/>
        <w:spacing w:lineRule="auto" w:line="288" w:before="240" w:after="283"/>
        <w:jc w:val="center"/>
        <w:rPr>
          <w:rFonts w:ascii="Open Sans;sans-serif" w:hAnsi="Open Sans;sans-serif"/>
          <w:b/>
          <w:color w:val="000000"/>
          <w:sz w:val="20"/>
        </w:rPr>
      </w:pPr>
      <w:r>
        <w:rPr>
          <w:rFonts w:ascii="Open Sans;sans-serif" w:hAnsi="Open Sans;sans-serif"/>
          <w:b/>
          <w:color w:val="000000"/>
          <w:sz w:val="20"/>
        </w:rPr>
        <w:t>CERTIFICATION OF PRINCIPAL FINANCIAL OFFICER</w:t>
      </w:r>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PURSUANT TO</w:t>
      </w:r>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SECURITIES EXCHANGE ACT OF 1934 RULES 13a-14(a) AND 15d-14(a),</w:t>
      </w:r>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AS ADOPTED PURSUANT TO</w:t>
      </w:r>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SECTION 302 OF THE SARBANES-OXLEY ACT OF 2002</w:t>
      </w:r>
    </w:p>
    <w:p>
      <w:pPr>
        <w:pStyle w:val="TextBody"/>
        <w:bidi w:val="0"/>
        <w:spacing w:lineRule="auto" w:line="288" w:before="120" w:after="283"/>
        <w:jc w:val="left"/>
        <w:rPr>
          <w:rFonts w:ascii="Open Sans;sans-serif" w:hAnsi="Open Sans;sans-serif"/>
          <w:b w:val="false"/>
          <w:color w:val="000000"/>
          <w:sz w:val="20"/>
        </w:rPr>
      </w:pPr>
      <w:r>
        <w:rPr>
          <w:rFonts w:ascii="Open Sans;sans-serif" w:hAnsi="Open Sans;sans-serif"/>
          <w:b w:val="false"/>
          <w:color w:val="000000"/>
          <w:sz w:val="20"/>
        </w:rPr>
        <w:t>I, Patti Kangwankij, certify that:</w:t>
      </w:r>
    </w:p>
    <w:p>
      <w:pPr>
        <w:pStyle w:val="TextBody"/>
        <w:bidi w:val="0"/>
        <w:spacing w:lineRule="auto" w:line="288" w:before="120" w:after="283"/>
        <w:jc w:val="both"/>
        <w:rPr/>
      </w:pPr>
      <w:r>
        <w:rPr>
          <w:rFonts w:ascii="Open Sans;sans-serif" w:hAnsi="Open Sans;sans-serif"/>
          <w:b w:val="false"/>
          <w:color w:val="000000"/>
          <w:sz w:val="20"/>
        </w:rPr>
        <w:t>1.</w:t>
      </w:r>
      <w:r>
        <w:rPr>
          <w:rFonts w:ascii="Open Sans;sans-serif" w:hAnsi="Open Sans;sans-serif"/>
          <w:b w:val="false"/>
          <w:color w:val="000000"/>
          <w:sz w:val="20"/>
        </w:rPr>
        <w:t>I have reviewed this quarterly report on Form 10-Q of Marqeta, Inc.;</w:t>
      </w:r>
    </w:p>
    <w:p>
      <w:pPr>
        <w:pStyle w:val="TextBody"/>
        <w:bidi w:val="0"/>
        <w:spacing w:lineRule="auto" w:line="288" w:before="120" w:after="283"/>
        <w:jc w:val="both"/>
        <w:rPr/>
      </w:pPr>
      <w:r>
        <w:rPr>
          <w:rFonts w:ascii="Open Sans;sans-serif" w:hAnsi="Open Sans;sans-serif"/>
          <w:b w:val="false"/>
          <w:color w:val="000000"/>
          <w:sz w:val="20"/>
        </w:rPr>
        <w:t>2.</w:t>
      </w:r>
      <w:r>
        <w:rPr>
          <w:rFonts w:ascii="Open Sans;sans-serif" w:hAnsi="Open Sans;sans-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jc w:val="both"/>
        <w:rPr/>
      </w:pPr>
      <w:r>
        <w:rPr>
          <w:rFonts w:ascii="Open Sans;sans-serif" w:hAnsi="Open Sans;sans-serif"/>
          <w:b w:val="false"/>
          <w:color w:val="000000"/>
          <w:sz w:val="20"/>
        </w:rPr>
        <w:t>3.</w:t>
      </w:r>
      <w:r>
        <w:rPr>
          <w:rFonts w:ascii="Open Sans;sans-serif" w:hAnsi="Open Sans;sans-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jc w:val="both"/>
        <w:rPr/>
      </w:pPr>
      <w:r>
        <w:rPr>
          <w:rFonts w:ascii="Open Sans;sans-serif" w:hAnsi="Open Sans;sans-serif"/>
          <w:b w:val="false"/>
          <w:color w:val="000000"/>
          <w:sz w:val="20"/>
        </w:rPr>
        <w:t>4.</w:t>
      </w:r>
      <w:r>
        <w:rPr>
          <w:rFonts w:ascii="Open Sans;sans-serif" w:hAnsi="Open Sans;sans-serif"/>
          <w:b w:val="false"/>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jc w:val="both"/>
        <w:rPr/>
      </w:pPr>
      <w:r>
        <w:rPr>
          <w:rFonts w:ascii="Open Sans;sans-serif" w:hAnsi="Open Sans;sans-serif"/>
          <w:b w:val="false"/>
          <w:color w:val="000000"/>
          <w:sz w:val="20"/>
        </w:rPr>
        <w:t>5.</w:t>
      </w:r>
      <w:r>
        <w:rPr>
          <w:rFonts w:ascii="Open Sans;sans-serif" w:hAnsi="Open Sans;sans-serif"/>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b.Any fraud, whether or not material, that involves management or other employees who have a significant role in the registrant’s internal control over financial reporting.</w:t>
      </w:r>
    </w:p>
    <w:tbl>
      <w:tblPr>
        <w:tblW w:w="5749" w:type="dxa"/>
        <w:jc w:val="left"/>
        <w:tblInd w:w="0" w:type="dxa"/>
        <w:tblLayout w:type="fixed"/>
        <w:tblCellMar>
          <w:top w:w="28" w:type="dxa"/>
          <w:left w:w="28" w:type="dxa"/>
          <w:bottom w:w="28" w:type="dxa"/>
          <w:right w:w="28" w:type="dxa"/>
        </w:tblCellMar>
      </w:tblPr>
      <w:tblGrid>
        <w:gridCol w:w="650"/>
        <w:gridCol w:w="572"/>
        <w:gridCol w:w="578"/>
        <w:gridCol w:w="109"/>
        <w:gridCol w:w="109"/>
        <w:gridCol w:w="109"/>
        <w:gridCol w:w="109"/>
        <w:gridCol w:w="109"/>
        <w:gridCol w:w="109"/>
        <w:gridCol w:w="129"/>
        <w:gridCol w:w="129"/>
        <w:gridCol w:w="131"/>
        <w:gridCol w:w="844"/>
        <w:gridCol w:w="844"/>
        <w:gridCol w:w="846"/>
        <w:gridCol w:w="109"/>
        <w:gridCol w:w="109"/>
        <w:gridCol w:w="154"/>
      </w:tblGrid>
      <w:tr>
        <w:trPr/>
        <w:tc>
          <w:tcPr>
            <w:tcW w:w="650"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0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8"/>
              </w:rPr>
            </w:pPr>
            <w:r>
              <w:rPr>
                <w:rFonts w:ascii="Open Sans;sans-serif" w:hAnsi="Open Sans;sans-serif"/>
                <w:b w:val="false"/>
                <w:color w:val="000000"/>
                <w:sz w:val="18"/>
              </w:rPr>
              <w:t>Date: May 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By:</w:t>
            </w:r>
          </w:p>
        </w:tc>
        <w:tc>
          <w:tcPr>
            <w:tcW w:w="253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Open Sans;sans-serif" w:hAnsi="Open Sans;sans-serif"/>
                <w:b w:val="false"/>
                <w:color w:val="000000"/>
                <w:sz w:val="18"/>
              </w:rPr>
              <w:t xml:space="preserve">/s/ </w:t>
            </w:r>
            <w:r>
              <w:rPr>
                <w:rFonts w:ascii="Open Sans;sans-serif" w:hAnsi="Open Sans;sans-serif"/>
                <w:b w:val="false"/>
                <w:color w:val="000000"/>
                <w:sz w:val="20"/>
              </w:rPr>
              <w:t>Patti Kangwankij</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120" w:after="283"/>
              <w:jc w:val="left"/>
              <w:rPr>
                <w:rFonts w:ascii="Open Sans;sans-serif" w:hAnsi="Open Sans;sans-serif"/>
                <w:b w:val="false"/>
                <w:color w:val="000000"/>
                <w:sz w:val="20"/>
              </w:rPr>
            </w:pPr>
            <w:r>
              <w:rPr>
                <w:rFonts w:ascii="Open Sans;sans-serif" w:hAnsi="Open Sans;sans-serif"/>
                <w:b w:val="false"/>
                <w:color w:val="000000"/>
                <w:sz w:val="20"/>
              </w:rPr>
              <w:t>Patti Kangwankij</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(Principal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Montserrat;sans-serif" w:hAnsi="Montserrat;sans-serif"/>
          <w:b/>
          <w:color w:val="000000"/>
          <w:sz w:val="20"/>
        </w:rPr>
      </w:pPr>
      <w:r>
        <w:rPr>
          <w:rFonts w:ascii="Montserrat;sans-serif" w:hAnsi="Montserrat;sans-serif"/>
          <w:b/>
          <w:color w:val="000000"/>
          <w:sz w:val="20"/>
        </w:rPr>
        <w:t>Exhibit 32.1</w:t>
      </w:r>
    </w:p>
    <w:p>
      <w:pPr>
        <w:pStyle w:val="TextBody"/>
        <w:bidi w:val="0"/>
        <w:spacing w:lineRule="auto" w:line="288" w:before="240" w:after="283"/>
        <w:jc w:val="center"/>
        <w:rPr>
          <w:rFonts w:ascii="Montserrat;sans-serif" w:hAnsi="Montserrat;sans-serif"/>
          <w:b/>
          <w:color w:val="000000"/>
          <w:sz w:val="20"/>
        </w:rPr>
      </w:pPr>
      <w:r>
        <w:rPr>
          <w:rFonts w:ascii="Montserrat;sans-serif" w:hAnsi="Montserrat;sans-serif"/>
          <w:b/>
          <w:color w:val="000000"/>
          <w:sz w:val="20"/>
        </w:rPr>
        <w:t>CERTIFICATION OF CHIEF EXECUTIVE OFFICER</w:t>
      </w:r>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PURSUANT TO 18 U.S.C. SECTION 1350,</w:t>
      </w:r>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AS ADOPTED PURSUANT TO SECTION 906 OF THE SARBANES-OXLEY ACT OF 2002</w:t>
      </w:r>
    </w:p>
    <w:p>
      <w:pPr>
        <w:pStyle w:val="TextBody"/>
        <w:bidi w:val="0"/>
        <w:spacing w:lineRule="auto" w:line="288" w:before="240" w:after="283"/>
        <w:jc w:val="both"/>
        <w:rPr>
          <w:rFonts w:ascii="Open Sans;sans-serif" w:hAnsi="Open Sans;sans-serif"/>
          <w:b w:val="false"/>
          <w:color w:val="000000"/>
          <w:sz w:val="20"/>
        </w:rPr>
      </w:pPr>
      <w:r>
        <w:rPr>
          <w:rFonts w:ascii="Open Sans;sans-serif" w:hAnsi="Open Sans;sans-serif"/>
          <w:b w:val="false"/>
          <w:color w:val="000000"/>
          <w:sz w:val="20"/>
        </w:rPr>
        <w:t>I, Michael (Mike) Milotich, Chief Executive Officer of Marqeta, Inc., certify, pursuant to 18 U.S.C. Section 1350, as adopted pursuant to Section 906 of the Sarbanes-Oxley Act of 2002, that the Quarterly Report on Form 10-Q of Marqeta, Inc. for the quarter ended March 31, 2026 fully complies with the requirements of Section 13(a) or 15(d) of the Securities Exchange Act of 1934 and that the information contained in such Quarterly Report on Form 10-Q fairly presents, in all material respects, the financial condition and results of operations of Marqeta, Inc.</w:t>
      </w:r>
    </w:p>
    <w:tbl>
      <w:tblPr>
        <w:tblW w:w="5512" w:type="dxa"/>
        <w:jc w:val="left"/>
        <w:tblInd w:w="0" w:type="dxa"/>
        <w:tblLayout w:type="fixed"/>
        <w:tblCellMar>
          <w:top w:w="28" w:type="dxa"/>
          <w:left w:w="28" w:type="dxa"/>
          <w:bottom w:w="28" w:type="dxa"/>
          <w:right w:w="28" w:type="dxa"/>
        </w:tblCellMar>
      </w:tblPr>
      <w:tblGrid>
        <w:gridCol w:w="650"/>
        <w:gridCol w:w="572"/>
        <w:gridCol w:w="578"/>
        <w:gridCol w:w="109"/>
        <w:gridCol w:w="109"/>
        <w:gridCol w:w="109"/>
        <w:gridCol w:w="109"/>
        <w:gridCol w:w="109"/>
        <w:gridCol w:w="109"/>
        <w:gridCol w:w="129"/>
        <w:gridCol w:w="129"/>
        <w:gridCol w:w="131"/>
        <w:gridCol w:w="779"/>
        <w:gridCol w:w="779"/>
        <w:gridCol w:w="1111"/>
      </w:tblGrid>
      <w:tr>
        <w:trPr/>
        <w:tc>
          <w:tcPr>
            <w:tcW w:w="650"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r>
      <w:tr>
        <w:trPr/>
        <w:tc>
          <w:tcPr>
            <w:tcW w:w="180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8"/>
              </w:rPr>
            </w:pPr>
            <w:r>
              <w:rPr>
                <w:rFonts w:ascii="Open Sans;sans-serif" w:hAnsi="Open Sans;sans-serif"/>
                <w:b w:val="false"/>
                <w:color w:val="000000"/>
                <w:sz w:val="18"/>
              </w:rPr>
              <w:t>Date: May 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By:</w:t>
            </w:r>
          </w:p>
        </w:tc>
        <w:tc>
          <w:tcPr>
            <w:tcW w:w="266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8"/>
              </w:rPr>
            </w:pPr>
            <w:r>
              <w:rPr>
                <w:rFonts w:ascii="Open Sans;sans-serif" w:hAnsi="Open Sans;sans-serif"/>
                <w:b w:val="false"/>
                <w:color w:val="000000"/>
                <w:sz w:val="18"/>
              </w:rPr>
              <w:t>/s/ Michael (Mike) Milotich</w:t>
            </w:r>
          </w:p>
        </w:tc>
      </w:tr>
      <w:tr>
        <w:trPr/>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8"/>
              </w:rPr>
            </w:pPr>
            <w:r>
              <w:rPr>
                <w:rFonts w:ascii="Open Sans;sans-serif" w:hAnsi="Open Sans;sans-serif"/>
                <w:b w:val="false"/>
                <w:color w:val="000000"/>
                <w:sz w:val="18"/>
              </w:rPr>
              <w:t>Michael (Mike) Milotich</w:t>
            </w:r>
          </w:p>
        </w:tc>
      </w:tr>
      <w:tr>
        <w:trPr/>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Chief Executive Officer</w:t>
            </w:r>
          </w:p>
        </w:tc>
      </w:tr>
      <w:tr>
        <w:trPr/>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Montserrat;sans-serif" w:hAnsi="Montserrat;sans-serif"/>
          <w:b/>
          <w:color w:val="000000"/>
          <w:sz w:val="20"/>
        </w:rPr>
      </w:pPr>
      <w:r>
        <w:rPr>
          <w:rFonts w:ascii="Montserrat;sans-serif" w:hAnsi="Montserrat;sans-serif"/>
          <w:b/>
          <w:color w:val="000000"/>
          <w:sz w:val="20"/>
        </w:rPr>
        <w:t>Exhibit 32.2</w:t>
      </w:r>
    </w:p>
    <w:p>
      <w:pPr>
        <w:pStyle w:val="TextBody"/>
        <w:bidi w:val="0"/>
        <w:spacing w:lineRule="auto" w:line="288" w:before="240" w:after="283"/>
        <w:jc w:val="center"/>
        <w:rPr>
          <w:rFonts w:ascii="Montserrat;sans-serif" w:hAnsi="Montserrat;sans-serif"/>
          <w:b/>
          <w:color w:val="000000"/>
          <w:sz w:val="20"/>
        </w:rPr>
      </w:pPr>
      <w:r>
        <w:rPr>
          <w:rFonts w:ascii="Montserrat;sans-serif" w:hAnsi="Montserrat;sans-serif"/>
          <w:b/>
          <w:color w:val="000000"/>
          <w:sz w:val="20"/>
        </w:rPr>
        <w:t>CERTIFICATION OF CHIEF FINANCIAL OFFICER</w:t>
      </w:r>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PURSUANT TO 18 U.S.C. SECTION 1350,</w:t>
      </w:r>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AS ADOPTED PURSUANT TO SECTION 906 OF THE SARBANES-OXLEY ACT OF 2002</w:t>
      </w:r>
    </w:p>
    <w:p>
      <w:pPr>
        <w:pStyle w:val="TextBody"/>
        <w:bidi w:val="0"/>
        <w:spacing w:lineRule="auto" w:line="288" w:before="240" w:after="283"/>
        <w:jc w:val="both"/>
        <w:rPr>
          <w:rFonts w:ascii="Open Sans;sans-serif" w:hAnsi="Open Sans;sans-serif"/>
          <w:b w:val="false"/>
          <w:color w:val="000000"/>
          <w:sz w:val="20"/>
        </w:rPr>
      </w:pPr>
      <w:r>
        <w:rPr>
          <w:rFonts w:ascii="Open Sans;sans-serif" w:hAnsi="Open Sans;sans-serif"/>
          <w:b w:val="false"/>
          <w:color w:val="000000"/>
          <w:sz w:val="20"/>
        </w:rPr>
        <w:t>I, Patti Kangwankij, Chief Financial Officer of Marqeta, Inc., certify, pursuant to 18 U.S.C. Section 1350, as adopted pursuant to Section 906 of the Sarbanes-Oxley Act of 2002, that the Quarterly Report on Form 10-Q of Marqeta, Inc. for the quarter ended March 31, 2026 fully complies with the requirements of Section 13(a) or 15(d) of the Securities Exchange Act of 1934 and that the information contained in such Quarterly Report on Form 10-Q fairly presents, in all material respects, the financial condition and results of operations of Marqeta, Inc.</w:t>
      </w:r>
    </w:p>
    <w:tbl>
      <w:tblPr>
        <w:tblW w:w="5423" w:type="dxa"/>
        <w:jc w:val="left"/>
        <w:tblInd w:w="0" w:type="dxa"/>
        <w:tblLayout w:type="fixed"/>
        <w:tblCellMar>
          <w:top w:w="28" w:type="dxa"/>
          <w:left w:w="28" w:type="dxa"/>
          <w:bottom w:w="28" w:type="dxa"/>
          <w:right w:w="28" w:type="dxa"/>
        </w:tblCellMar>
      </w:tblPr>
      <w:tblGrid>
        <w:gridCol w:w="650"/>
        <w:gridCol w:w="572"/>
        <w:gridCol w:w="578"/>
        <w:gridCol w:w="109"/>
        <w:gridCol w:w="109"/>
        <w:gridCol w:w="109"/>
        <w:gridCol w:w="109"/>
        <w:gridCol w:w="109"/>
        <w:gridCol w:w="109"/>
        <w:gridCol w:w="129"/>
        <w:gridCol w:w="129"/>
        <w:gridCol w:w="131"/>
        <w:gridCol w:w="755"/>
        <w:gridCol w:w="755"/>
        <w:gridCol w:w="1070"/>
      </w:tblGrid>
      <w:tr>
        <w:trPr/>
        <w:tc>
          <w:tcPr>
            <w:tcW w:w="650"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r>
      <w:tr>
        <w:trPr/>
        <w:tc>
          <w:tcPr>
            <w:tcW w:w="180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8"/>
              </w:rPr>
            </w:pPr>
            <w:r>
              <w:rPr>
                <w:rFonts w:ascii="Open Sans;sans-serif" w:hAnsi="Open Sans;sans-serif"/>
                <w:b w:val="false"/>
                <w:color w:val="000000"/>
                <w:sz w:val="18"/>
              </w:rPr>
              <w:t>Date: May 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By:</w:t>
            </w:r>
          </w:p>
        </w:tc>
        <w:tc>
          <w:tcPr>
            <w:tcW w:w="258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Open Sans;sans-serif" w:hAnsi="Open Sans;sans-serif"/>
                <w:b w:val="false"/>
                <w:color w:val="000000"/>
                <w:sz w:val="18"/>
              </w:rPr>
              <w:t xml:space="preserve">/s/ </w:t>
            </w:r>
            <w:r>
              <w:rPr>
                <w:rFonts w:ascii="Open Sans;sans-serif" w:hAnsi="Open Sans;sans-serif"/>
                <w:b w:val="false"/>
                <w:color w:val="000000"/>
                <w:sz w:val="20"/>
              </w:rPr>
              <w:t>Patti Kangwankij</w:t>
            </w:r>
          </w:p>
        </w:tc>
      </w:tr>
      <w:tr>
        <w:trPr/>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120" w:after="283"/>
              <w:jc w:val="left"/>
              <w:rPr>
                <w:rFonts w:ascii="Open Sans;sans-serif" w:hAnsi="Open Sans;sans-serif"/>
                <w:b w:val="false"/>
                <w:color w:val="000000"/>
                <w:sz w:val="20"/>
              </w:rPr>
            </w:pPr>
            <w:r>
              <w:rPr>
                <w:rFonts w:ascii="Open Sans;sans-serif" w:hAnsi="Open Sans;sans-serif"/>
                <w:b w:val="false"/>
                <w:color w:val="000000"/>
                <w:sz w:val="20"/>
              </w:rPr>
              <w:t>Patti Kangwankij</w:t>
            </w:r>
          </w:p>
        </w:tc>
      </w:tr>
      <w:tr>
        <w:trPr/>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Chief Financial Officer</w:t>
            </w:r>
          </w:p>
        </w:tc>
      </w:tr>
      <w:tr>
        <w:trPr/>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(Principal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Montserrat">
    <w:altName w:val="sans-serif"/>
    <w:charset w:val="01"/>
    <w:family w:val="auto"/>
    <w:pitch w:val="default"/>
  </w:font>
  <w:font w:name="Open Sans">
    <w:altName w:val="sans-serif"/>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522540/000152254026000017/exhibit1020to202510-k.htm" TargetMode="External"/><Relationship Id="rId3" Type="http://schemas.openxmlformats.org/officeDocument/2006/relationships/hyperlink" Target="https://www.sec.gov/Archives/edgar/data/1522540/000152254026000017/exhibit1032to202510-k.htm" TargetMode="External"/><Relationship Id="rId4" Type="http://schemas.openxmlformats.org/officeDocument/2006/relationships/hyperlink" Target="https://www.sec.gov/Archives/edgar/data/1522540/000152254026000017/exhibit1033to202510-k.htm" TargetMode="External"/><Relationship Id="rId5" Type="http://schemas.openxmlformats.org/officeDocument/2006/relationships/hyperlink" Target="https://www.sec.gov/Archives/edgar/data/1522540/000152254026000017/exhibit1033to202510-k.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17532</Words>
  <Characters>99109</Characters>
  <CharactersWithSpaces>115320</CharactersWithSpaces>
  <Paragraphs>2151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