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Montserrat;sans-serif" w:hAnsi="Montserrat;sans-serif"/>
          <w:b w:val="false"/>
          <w:color w:val="000000"/>
          <w:sz w:val="2"/>
        </w:rPr>
      </w:pPr>
      <w:r>
        <w:rPr>
          <w:rFonts w:ascii="Montserrat;sans-serif" w:hAnsi="Montserrat;sans-serif"/>
          <w:b w:val="false"/>
          <w:color w:val="000000"/>
          <w:sz w:val="2"/>
        </w:rPr>
        <w:t>7/6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Open Sans;sans-serif" w:hAnsi="Open Sans;sans-serif"/>
          <w:b/>
          <w:color w:val="000000"/>
          <w:sz w:val="28"/>
        </w:rPr>
      </w:pPr>
      <w:r>
        <w:rPr>
          <w:rFonts w:ascii="Open Sans;sans-serif" w:hAnsi="Open Sans;sans-serif"/>
          <w:b/>
          <w:color w:val="000000"/>
          <w:sz w:val="28"/>
        </w:rPr>
        <w:t>UNITED STATES</w:t>
      </w:r>
    </w:p>
    <w:p>
      <w:pPr>
        <w:pStyle w:val="TextBody"/>
        <w:bidi w:val="0"/>
        <w:spacing w:lineRule="auto" w:line="288" w:before="0" w:after="0"/>
        <w:jc w:val="center"/>
        <w:rPr>
          <w:rFonts w:ascii="Open Sans;sans-serif" w:hAnsi="Open Sans;sans-serif"/>
          <w:b/>
          <w:color w:val="000000"/>
          <w:sz w:val="28"/>
        </w:rPr>
      </w:pPr>
      <w:r>
        <w:rPr>
          <w:rFonts w:ascii="Open Sans;sans-serif" w:hAnsi="Open Sans;sans-serif"/>
          <w:b/>
          <w:color w:val="000000"/>
          <w:sz w:val="28"/>
        </w:rPr>
        <w:t>SECURITIES AND EXCHANGE COMMISSION</w:t>
      </w:r>
    </w:p>
    <w:p>
      <w:pPr>
        <w:pStyle w:val="TextBody"/>
        <w:bidi w:val="0"/>
        <w:spacing w:lineRule="auto" w:line="288" w:before="0" w:after="240"/>
        <w:jc w:val="center"/>
        <w:rPr>
          <w:rFonts w:ascii="Open Sans;sans-serif" w:hAnsi="Open Sans;sans-serif"/>
          <w:b/>
          <w:color w:val="000000"/>
          <w:sz w:val="22"/>
        </w:rPr>
      </w:pPr>
      <w:r>
        <w:rPr>
          <w:rFonts w:ascii="Open Sans;sans-serif" w:hAnsi="Open Sans;sans-serif"/>
          <w:b/>
          <w:color w:val="000000"/>
          <w:sz w:val="22"/>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Open Sans;sans-serif" w:hAnsi="Open Sans;sans-serif"/>
          <w:b/>
          <w:color w:val="000000"/>
          <w:sz w:val="40"/>
        </w:rPr>
      </w:pPr>
      <w:r>
        <w:rPr>
          <w:rFonts w:ascii="Open Sans;sans-serif" w:hAnsi="Open Sans;sans-serif"/>
          <w:b/>
          <w:color w:val="000000"/>
          <w:sz w:val="40"/>
        </w:rPr>
        <w:t>FORM 10-Q</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Open Sans;sans-serif" w:hAnsi="Open Sans;sans-serif"/>
          <w:b/>
          <w:color w:val="000000"/>
          <w:sz w:val="18"/>
        </w:rPr>
      </w:pPr>
      <w:r>
        <w:rPr>
          <w:rFonts w:ascii="Open Sans;sans-serif" w:hAnsi="Open Sans;sans-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QUARTERLY REPORT PURSUANT TO SECTION 13 OR 15(d) OF THE SECURITIES EXCHANGE ACT OF 1934</w:t>
            </w:r>
          </w:p>
        </w:tc>
      </w:tr>
    </w:tbl>
    <w:p>
      <w:pPr>
        <w:pStyle w:val="TextBody"/>
        <w:bidi w:val="0"/>
        <w:spacing w:lineRule="auto" w:line="288" w:before="120" w:after="283"/>
        <w:jc w:val="center"/>
        <w:rPr>
          <w:rFonts w:ascii="Open Sans;sans-serif" w:hAnsi="Open Sans;sans-serif"/>
          <w:b/>
          <w:color w:val="000000"/>
          <w:sz w:val="20"/>
        </w:rPr>
      </w:pPr>
      <w:r>
        <w:rPr>
          <w:rFonts w:ascii="Open Sans;sans-serif" w:hAnsi="Open Sans;sans-serif"/>
          <w:b/>
          <w:color w:val="000000"/>
          <w:sz w:val="20"/>
        </w:rPr>
        <w:t>For the quarterly period ended June 30, 2026</w:t>
      </w:r>
    </w:p>
    <w:p>
      <w:pPr>
        <w:pStyle w:val="TextBody"/>
        <w:bidi w:val="0"/>
        <w:spacing w:lineRule="auto" w:line="288" w:before="120" w:after="60"/>
        <w:jc w:val="center"/>
        <w:rPr>
          <w:rFonts w:ascii="Open Sans;sans-serif" w:hAnsi="Open Sans;sans-serif"/>
          <w:b/>
          <w:color w:val="000000"/>
          <w:sz w:val="20"/>
        </w:rPr>
      </w:pPr>
      <w:r>
        <w:rPr>
          <w:rFonts w:ascii="Open Sans;sans-serif" w:hAnsi="Open Sans;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TRANSITION REPORT PURSUANT TO SECTION 13 OR 15(d) OF THE SECURITIES EXCHANGE ACT OF 1934</w:t>
            </w:r>
          </w:p>
        </w:tc>
      </w:tr>
    </w:tbl>
    <w:p>
      <w:pPr>
        <w:pStyle w:val="TextBody"/>
        <w:bidi w:val="0"/>
        <w:spacing w:lineRule="auto" w:line="288" w:before="0" w:after="120"/>
        <w:jc w:val="center"/>
        <w:rPr>
          <w:rFonts w:ascii="Open Sans;sans-serif" w:hAnsi="Open Sans;sans-serif"/>
          <w:b/>
          <w:color w:val="000000"/>
          <w:sz w:val="20"/>
        </w:rPr>
      </w:pPr>
      <w:r>
        <w:rPr>
          <w:rFonts w:ascii="Open Sans;sans-serif" w:hAnsi="Open Sans;sans-serif"/>
          <w:b/>
          <w:color w:val="000000"/>
          <w:sz w:val="20"/>
        </w:rPr>
        <w:t>For the transition period from __________ to __________</w:t>
      </w:r>
    </w:p>
    <w:p>
      <w:pPr>
        <w:pStyle w:val="TextBody"/>
        <w:bidi w:val="0"/>
        <w:spacing w:lineRule="auto" w:line="288" w:before="0" w:after="120"/>
        <w:jc w:val="center"/>
        <w:rPr>
          <w:rFonts w:ascii="Open Sans;sans-serif" w:hAnsi="Open Sans;sans-serif"/>
          <w:b/>
          <w:color w:val="000000"/>
          <w:sz w:val="20"/>
        </w:rPr>
      </w:pPr>
      <w:r>
        <w:rPr>
          <w:rFonts w:ascii="Open Sans;sans-serif" w:hAnsi="Open Sans;sans-serif"/>
          <w:b/>
          <w:color w:val="000000"/>
          <w:sz w:val="20"/>
        </w:rPr>
        <w:t>Commission File Number: 001-40465</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Open Sans;sans-serif" w:hAnsi="Open Sans;sans-serif"/>
          <w:b/>
          <w:color w:val="000000"/>
          <w:sz w:val="40"/>
        </w:rPr>
      </w:pPr>
      <w:r>
        <w:rPr>
          <w:rFonts w:ascii="Open Sans;sans-serif" w:hAnsi="Open Sans;sans-serif"/>
          <w:b/>
          <w:color w:val="000000"/>
          <w:sz w:val="40"/>
        </w:rPr>
        <w:t>Marqeta, Inc.</w:t>
      </w:r>
    </w:p>
    <w:p>
      <w:pPr>
        <w:pStyle w:val="TextBody"/>
        <w:bidi w:val="0"/>
        <w:spacing w:lineRule="auto" w:line="288" w:before="60" w:after="60"/>
        <w:jc w:val="center"/>
        <w:rPr>
          <w:rFonts w:ascii="Open Sans;sans-serif" w:hAnsi="Open Sans;sans-serif"/>
          <w:b w:val="false"/>
          <w:color w:val="000000"/>
          <w:sz w:val="20"/>
        </w:rPr>
      </w:pPr>
      <w:r>
        <w:rPr>
          <w:rFonts w:ascii="Open Sans;sans-serif" w:hAnsi="Open Sans;sans-serif"/>
          <w:b w:val="false"/>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910" w:type="dxa"/>
        <w:jc w:val="center"/>
        <w:tblInd w:w="0" w:type="dxa"/>
        <w:tblLayout w:type="fixed"/>
        <w:tblCellMar>
          <w:top w:w="28" w:type="dxa"/>
          <w:left w:w="28" w:type="dxa"/>
          <w:bottom w:w="28" w:type="dxa"/>
          <w:right w:w="28" w:type="dxa"/>
        </w:tblCellMar>
      </w:tblPr>
      <w:tblGrid>
        <w:gridCol w:w="2004"/>
        <w:gridCol w:w="1758"/>
        <w:gridCol w:w="1773"/>
        <w:gridCol w:w="989"/>
        <w:gridCol w:w="989"/>
        <w:gridCol w:w="1397"/>
      </w:tblGrid>
      <w:tr>
        <w:trPr/>
        <w:tc>
          <w:tcPr>
            <w:tcW w:w="200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Delaware</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27-4306690</w:t>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(State or other jurisdiction of incorporation or organization)</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(I.R.S. Employer Identification Number)</w:t>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20"/>
              </w:rPr>
            </w:pPr>
            <w:r>
              <w:rPr>
                <w:rFonts w:ascii="Open Sans;sans-serif" w:hAnsi="Open Sans;sans-serif"/>
                <w:b/>
                <w:color w:val="000000"/>
                <w:sz w:val="20"/>
              </w:rPr>
              <w:t>180 Grand Avenue, 6th Floor, Oakland, California</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rPr>
            </w:pPr>
            <w:r>
              <w:rPr>
                <w:rFonts w:ascii="Open Sans;sans-serif" w:hAnsi="Open Sans;sans-serif"/>
                <w:b/>
                <w:color w:val="000000"/>
                <w:sz w:val="20"/>
              </w:rPr>
              <w:t>94612</w:t>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(Address of principal executive offices)</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(Zip Code)</w:t>
            </w:r>
          </w:p>
        </w:tc>
      </w:tr>
    </w:tbl>
    <w:p>
      <w:pPr>
        <w:pStyle w:val="TextBody"/>
        <w:bidi w:val="0"/>
        <w:spacing w:before="0" w:after="0"/>
        <w:jc w:val="center"/>
        <w:rPr/>
      </w:pPr>
      <w:r>
        <w:rPr/>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(510) 671-5437</w:t>
      </w:r>
    </w:p>
    <w:p>
      <w:pPr>
        <w:pStyle w:val="TextBody"/>
        <w:bidi w:val="0"/>
        <w:spacing w:lineRule="auto" w:line="288" w:before="0" w:after="0"/>
        <w:jc w:val="center"/>
        <w:rPr>
          <w:rFonts w:ascii="Open Sans;sans-serif" w:hAnsi="Open Sans;sans-serif"/>
          <w:b w:val="false"/>
          <w:color w:val="000000"/>
          <w:sz w:val="16"/>
        </w:rPr>
      </w:pPr>
      <w:r>
        <w:rPr>
          <w:rFonts w:ascii="Open Sans;sans-serif" w:hAnsi="Open Sans;sans-serif"/>
          <w:b w:val="false"/>
          <w:color w:val="000000"/>
          <w:sz w:val="16"/>
        </w:rPr>
        <w:t>(Registrant's telephone number, including area code)</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Open Sans;sans-serif" w:hAnsi="Open Sans;sans-serif"/>
          <w:b w:val="false"/>
          <w:color w:val="000000"/>
          <w:sz w:val="16"/>
        </w:rPr>
      </w:pPr>
      <w:r>
        <w:rPr>
          <w:rFonts w:ascii="Open Sans;sans-serif" w:hAnsi="Open Sans;sans-serif"/>
          <w:b w:val="false"/>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655"/>
        <w:gridCol w:w="1413"/>
        <w:gridCol w:w="1422"/>
        <w:gridCol w:w="109"/>
        <w:gridCol w:w="109"/>
        <w:gridCol w:w="109"/>
        <w:gridCol w:w="510"/>
        <w:gridCol w:w="510"/>
        <w:gridCol w:w="512"/>
        <w:gridCol w:w="109"/>
        <w:gridCol w:w="109"/>
        <w:gridCol w:w="109"/>
        <w:gridCol w:w="1032"/>
        <w:gridCol w:w="1032"/>
        <w:gridCol w:w="1465"/>
      </w:tblGrid>
      <w:tr>
        <w:trPr/>
        <w:tc>
          <w:tcPr>
            <w:tcW w:w="1655"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r>
      <w:tr>
        <w:trPr/>
        <w:tc>
          <w:tcPr>
            <w:tcW w:w="4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Name of each exchange on which registered</w:t>
            </w:r>
          </w:p>
        </w:tc>
      </w:tr>
      <w:tr>
        <w:trPr/>
        <w:tc>
          <w:tcPr>
            <w:tcW w:w="44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MQ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The Nasdaq Stock Market LLC</w:t>
            </w:r>
          </w:p>
        </w:tc>
      </w:tr>
      <w:tr>
        <w:trPr/>
        <w:tc>
          <w:tcPr>
            <w:tcW w:w="4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(Nasdaq Global Select Market)</w:t>
            </w:r>
          </w:p>
        </w:tc>
      </w:tr>
    </w:tbl>
    <w:p>
      <w:pPr>
        <w:pStyle w:val="TextBody"/>
        <w:bidi w:val="0"/>
        <w:spacing w:lineRule="auto" w:line="288" w:before="120" w:after="283"/>
        <w:jc w:val="both"/>
        <w:rPr>
          <w:rFonts w:ascii="Open Sans;sans-serif" w:hAnsi="Open Sans;sans-serif"/>
          <w:b w:val="false"/>
          <w:color w:val="000000"/>
          <w:sz w:val="16"/>
        </w:rPr>
      </w:pPr>
      <w:r>
        <w:rPr>
          <w:rFonts w:ascii="Open Sans;sans-serif" w:hAnsi="Open Sans;sans-serif"/>
          <w:b w:val="false"/>
          <w:color w:val="000000"/>
          <w:sz w:val="16"/>
        </w:rPr>
        <w:t>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283"/>
        <w:jc w:val="both"/>
        <w:rPr>
          <w:rFonts w:ascii="Open Sans;sans-serif" w:hAnsi="Open Sans;sans-serif"/>
          <w:b w:val="false"/>
          <w:color w:val="000000"/>
          <w:sz w:val="16"/>
        </w:rPr>
      </w:pPr>
      <w:r>
        <w:rPr>
          <w:rFonts w:ascii="Open Sans;sans-serif" w:hAnsi="Open Sans;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120"/>
        <w:jc w:val="both"/>
        <w:rPr>
          <w:rFonts w:ascii="Open Sans;sans-serif" w:hAnsi="Open Sans;sans-serif"/>
          <w:b w:val="false"/>
          <w:color w:val="000000"/>
          <w:sz w:val="16"/>
        </w:rPr>
      </w:pPr>
      <w:r>
        <w:rPr>
          <w:rFonts w:ascii="Open Sans;sans-serif" w:hAnsi="Open Sans;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35" w:type="dxa"/>
        <w:jc w:val="left"/>
        <w:tblInd w:w="0" w:type="dxa"/>
        <w:tblLayout w:type="fixed"/>
        <w:tblCellMar>
          <w:top w:w="28" w:type="dxa"/>
          <w:left w:w="28" w:type="dxa"/>
          <w:bottom w:w="28" w:type="dxa"/>
          <w:right w:w="28" w:type="dxa"/>
        </w:tblCellMar>
      </w:tblPr>
      <w:tblGrid>
        <w:gridCol w:w="727"/>
        <w:gridCol w:w="640"/>
        <w:gridCol w:w="642"/>
        <w:gridCol w:w="109"/>
        <w:gridCol w:w="109"/>
        <w:gridCol w:w="109"/>
        <w:gridCol w:w="109"/>
        <w:gridCol w:w="109"/>
        <w:gridCol w:w="109"/>
        <w:gridCol w:w="799"/>
        <w:gridCol w:w="799"/>
        <w:gridCol w:w="802"/>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left"/>
        <w:rPr>
          <w:rFonts w:ascii="Open Sans;sans-serif" w:hAnsi="Open Sans;sans-serif"/>
          <w:b w:val="false"/>
          <w:color w:val="000000"/>
          <w:sz w:val="16"/>
        </w:rPr>
      </w:pPr>
      <w:r>
        <w:rPr>
          <w:rFonts w:ascii="Open Sans;sans-serif" w:hAnsi="Open Sans;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80" w:after="283"/>
        <w:jc w:val="left"/>
        <w:rPr>
          <w:rFonts w:ascii="Open Sans;sans-serif" w:hAnsi="Open Sans;sans-serif"/>
          <w:b w:val="false"/>
          <w:color w:val="000000"/>
          <w:sz w:val="16"/>
        </w:rPr>
      </w:pPr>
      <w:r>
        <w:rPr>
          <w:rFonts w:ascii="Open Sans;sans-serif" w:hAnsi="Open Sans;sans-serif"/>
          <w:b w:val="false"/>
          <w:color w:val="000000"/>
          <w:sz w:val="16"/>
        </w:rPr>
        <w:t>Indicate by check mark whether the registrant is a shell company (as defined in Rule 12b-2 of the Exchange Act). Yes ☐ No ☒</w:t>
      </w:r>
    </w:p>
    <w:p>
      <w:pPr>
        <w:pStyle w:val="TextBody"/>
        <w:bidi w:val="0"/>
        <w:spacing w:lineRule="auto" w:line="288" w:before="180" w:after="120"/>
        <w:jc w:val="both"/>
        <w:rPr>
          <w:rFonts w:ascii="Open Sans;sans-serif" w:hAnsi="Open Sans;sans-serif"/>
          <w:b w:val="false"/>
          <w:color w:val="000000"/>
          <w:sz w:val="16"/>
        </w:rPr>
      </w:pPr>
      <w:r>
        <w:rPr>
          <w:rFonts w:ascii="Open Sans;sans-serif" w:hAnsi="Open Sans;sans-serif"/>
          <w:b w:val="false"/>
          <w:color w:val="000000"/>
          <w:sz w:val="16"/>
        </w:rPr>
        <w:t>As of July 31, 2026, there were 95,911,790 shares of the registrant's Class A common stock, par value $0.0001 per share, outstanding and 8,187,044 shares of the registrant's Class B common stock, par value $0.0001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
        <w:jc w:val="center"/>
        <w:rPr>
          <w:rFonts w:ascii="Open Sans;sans-serif" w:hAnsi="Open Sans;sans-serif"/>
          <w:b/>
          <w:color w:val="000000"/>
          <w:sz w:val="20"/>
        </w:rPr>
      </w:pPr>
      <w:r>
        <w:rPr>
          <w:rFonts w:ascii="Open Sans;sans-serif" w:hAnsi="Open Sans;sans-serif"/>
          <w:b/>
          <w:color w:val="000000"/>
          <w:sz w:val="20"/>
        </w:rPr>
        <w:t>TABLE OF CONTENTS</w:t>
      </w:r>
    </w:p>
    <w:p>
      <w:pPr>
        <w:pStyle w:val="TextBody"/>
        <w:bidi w:val="0"/>
        <w:spacing w:before="0" w:after="2"/>
        <w:jc w:val="center"/>
        <w:rPr/>
      </w:pPr>
      <w:r>
        <w:rPr/>
      </w:r>
    </w:p>
    <w:tbl>
      <w:tblPr>
        <w:tblW w:w="10205" w:type="dxa"/>
        <w:jc w:val="left"/>
        <w:tblInd w:w="0" w:type="dxa"/>
        <w:tblLayout w:type="fixed"/>
        <w:tblCellMar>
          <w:top w:w="28" w:type="dxa"/>
          <w:left w:w="28" w:type="dxa"/>
          <w:bottom w:w="28" w:type="dxa"/>
          <w:right w:w="28" w:type="dxa"/>
        </w:tblCellMar>
      </w:tblPr>
      <w:tblGrid>
        <w:gridCol w:w="686"/>
        <w:gridCol w:w="603"/>
        <w:gridCol w:w="603"/>
        <w:gridCol w:w="2580"/>
        <w:gridCol w:w="2508"/>
        <w:gridCol w:w="2516"/>
        <w:gridCol w:w="206"/>
        <w:gridCol w:w="206"/>
        <w:gridCol w:w="297"/>
      </w:tblGrid>
      <w:tr>
        <w:trPr/>
        <w:tc>
          <w:tcPr>
            <w:tcW w:w="68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20"/>
                <w:u w:val="single"/>
              </w:rPr>
            </w:pPr>
            <w:r>
              <w:rPr>
                <w:rFonts w:ascii="Open Sans;sans-serif" w:hAnsi="Open Sans;sans-serif"/>
                <w:b/>
                <w:color w:val="000000"/>
                <w:sz w:val="20"/>
                <w:u w:val="single"/>
              </w:rPr>
              <w:t>Page</w:t>
            </w:r>
          </w:p>
        </w:tc>
      </w:tr>
      <w:tr>
        <w:trPr/>
        <w:tc>
          <w:tcPr>
            <w:tcW w:w="949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36b0fd50ebe4404be9f3d5fe7d3f0d1_10">
              <w:r>
                <w:rPr>
                  <w:rStyle w:val="InternetLink"/>
                  <w:rFonts w:ascii="Open Sans;sans-serif" w:hAnsi="Open Sans;sans-serif"/>
                  <w:b w:val="false"/>
                  <w:color w:val="0000FF"/>
                  <w:sz w:val="20"/>
                  <w:u w:val="single"/>
                </w:rPr>
                <w:t>Note About Forward-Looking Statements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0">
              <w:r>
                <w:rPr>
                  <w:rStyle w:val="InternetLink"/>
                  <w:rFonts w:ascii="Open Sans;sans-serif" w:hAnsi="Open Sans;sans-serif"/>
                  <w:b w:val="false"/>
                  <w:color w:val="0000FF"/>
                  <w:sz w:val="20"/>
                  <w:u w:val="single"/>
                </w:rPr>
                <w:t>3</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3">
              <w:r>
                <w:rPr>
                  <w:rStyle w:val="InternetLink"/>
                  <w:rFonts w:ascii="Open Sans;sans-serif" w:hAnsi="Open Sans;sans-serif"/>
                  <w:b/>
                  <w:strike w:val="false"/>
                  <w:dstrike w:val="false"/>
                  <w:color w:val="000000"/>
                  <w:sz w:val="20"/>
                  <w:u w:val="none"/>
                  <w:effect w:val="none"/>
                </w:rPr>
                <w:t>Part I - Financial Information</w:t>
              </w:r>
            </w:hyperlink>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6">
              <w:r>
                <w:rPr>
                  <w:rStyle w:val="InternetLink"/>
                  <w:rFonts w:ascii="Open Sans;sans-serif" w:hAnsi="Open Sans;sans-serif"/>
                  <w:b w:val="false"/>
                  <w:color w:val="0000FF"/>
                  <w:sz w:val="20"/>
                  <w:u w:val="single"/>
                </w:rPr>
                <w:t>Item 1.</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6b0fd50ebe4404be9f3d5fe7d3f0d1_16">
              <w:r>
                <w:rPr>
                  <w:rStyle w:val="InternetLink"/>
                  <w:rFonts w:ascii="Open Sans;sans-serif" w:hAnsi="Open Sans;sans-serif"/>
                  <w:b w:val="false"/>
                  <w:color w:val="0000FF"/>
                  <w:sz w:val="20"/>
                  <w:u w:val="single"/>
                </w:rPr>
                <w:t>Condensed Consolidated Financial Statements: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6">
              <w:r>
                <w:rPr>
                  <w:rStyle w:val="InternetLink"/>
                  <w:rFonts w:ascii="Open Sans;sans-serif" w:hAnsi="Open Sans;sans-serif"/>
                  <w:b w:val="false"/>
                  <w:color w:val="0000FF"/>
                  <w:sz w:val="20"/>
                  <w:u w:val="single"/>
                </w:rPr>
                <w:t>5</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6b0fd50ebe4404be9f3d5fe7d3f0d1_19">
              <w:r>
                <w:rPr>
                  <w:rStyle w:val="InternetLink"/>
                  <w:rFonts w:ascii="Open Sans;sans-serif" w:hAnsi="Open Sans;sans-serif"/>
                  <w:b w:val="false"/>
                  <w:color w:val="0000FF"/>
                  <w:sz w:val="20"/>
                  <w:u w:val="single"/>
                </w:rPr>
                <w:t>Condensed Consolidated Balance Sheets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9">
              <w:r>
                <w:rPr>
                  <w:rStyle w:val="InternetLink"/>
                  <w:rFonts w:ascii="Open Sans;sans-serif" w:hAnsi="Open Sans;sans-serif"/>
                  <w:b w:val="false"/>
                  <w:color w:val="0000FF"/>
                  <w:sz w:val="20"/>
                  <w:u w:val="single"/>
                </w:rPr>
                <w:t>5</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6b0fd50ebe4404be9f3d5fe7d3f0d1_22">
              <w:r>
                <w:rPr>
                  <w:rStyle w:val="InternetLink"/>
                  <w:rFonts w:ascii="Open Sans;sans-serif" w:hAnsi="Open Sans;sans-serif"/>
                  <w:b w:val="false"/>
                  <w:color w:val="0000FF"/>
                  <w:sz w:val="20"/>
                  <w:u w:val="single"/>
                </w:rPr>
                <w:t>Condensed Consolidated Statements of Operations and Comprehensive Income (Loss)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22">
              <w:r>
                <w:rPr>
                  <w:rStyle w:val="InternetLink"/>
                  <w:rFonts w:ascii="Open Sans;sans-serif" w:hAnsi="Open Sans;sans-serif"/>
                  <w:b w:val="false"/>
                  <w:color w:val="0000FF"/>
                  <w:sz w:val="20"/>
                  <w:u w:val="single"/>
                </w:rPr>
                <w:t>6</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6b0fd50ebe4404be9f3d5fe7d3f0d1_25">
              <w:r>
                <w:rPr>
                  <w:rStyle w:val="InternetLink"/>
                  <w:rFonts w:ascii="Open Sans;sans-serif" w:hAnsi="Open Sans;sans-serif"/>
                  <w:b w:val="false"/>
                  <w:color w:val="0000FF"/>
                  <w:sz w:val="20"/>
                  <w:u w:val="single"/>
                </w:rPr>
                <w:t>Condensed Consolidated Statements of Stockholders' Equity</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25">
              <w:r>
                <w:rPr>
                  <w:rStyle w:val="InternetLink"/>
                  <w:rFonts w:ascii="Open Sans;sans-serif" w:hAnsi="Open Sans;sans-serif"/>
                  <w:b w:val="false"/>
                  <w:color w:val="0000FF"/>
                  <w:sz w:val="20"/>
                  <w:u w:val="single"/>
                </w:rPr>
                <w:t>7</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6b0fd50ebe4404be9f3d5fe7d3f0d1_28">
              <w:r>
                <w:rPr>
                  <w:rStyle w:val="InternetLink"/>
                  <w:rFonts w:ascii="Open Sans;sans-serif" w:hAnsi="Open Sans;sans-serif"/>
                  <w:b w:val="false"/>
                  <w:color w:val="0000FF"/>
                  <w:sz w:val="20"/>
                  <w:u w:val="single"/>
                </w:rPr>
                <w:t>Condensed Consolidated Statements of Cash Flows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28">
              <w:r>
                <w:rPr>
                  <w:rStyle w:val="InternetLink"/>
                  <w:rFonts w:ascii="Open Sans;sans-serif" w:hAnsi="Open Sans;sans-serif"/>
                  <w:b w:val="false"/>
                  <w:color w:val="0000FF"/>
                  <w:sz w:val="20"/>
                  <w:u w:val="single"/>
                </w:rPr>
                <w:t>9</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6b0fd50ebe4404be9f3d5fe7d3f0d1_31">
              <w:r>
                <w:rPr>
                  <w:rStyle w:val="InternetLink"/>
                  <w:rFonts w:ascii="Open Sans;sans-serif" w:hAnsi="Open Sans;sans-serif"/>
                  <w:b w:val="false"/>
                  <w:color w:val="0000FF"/>
                  <w:sz w:val="20"/>
                  <w:u w:val="single"/>
                </w:rPr>
                <w:t>Notes to Condensed Consolidated Financial Statements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31">
              <w:r>
                <w:rPr>
                  <w:rStyle w:val="InternetLink"/>
                  <w:rFonts w:ascii="Open Sans;sans-serif" w:hAnsi="Open Sans;sans-serif"/>
                  <w:b w:val="false"/>
                  <w:color w:val="0000FF"/>
                  <w:sz w:val="20"/>
                  <w:u w:val="single"/>
                </w:rPr>
                <w:t>11</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88">
              <w:r>
                <w:rPr>
                  <w:rStyle w:val="InternetLink"/>
                  <w:rFonts w:ascii="Open Sans;sans-serif" w:hAnsi="Open Sans;sans-serif"/>
                  <w:b w:val="false"/>
                  <w:color w:val="0000FF"/>
                  <w:sz w:val="20"/>
                  <w:u w:val="single"/>
                </w:rPr>
                <w:t>Item 2.</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6b0fd50ebe4404be9f3d5fe7d3f0d1_88">
              <w:r>
                <w:rPr>
                  <w:rStyle w:val="InternetLink"/>
                  <w:rFonts w:ascii="Open Sans;sans-serif" w:hAnsi="Open Sans;sans-serif"/>
                  <w:b w:val="false"/>
                  <w:color w:val="0000FF"/>
                  <w:sz w:val="20"/>
                  <w:u w:val="single"/>
                </w:rPr>
                <w:t>Management's Discussion and Analysis of Financial Condition and Results of Operations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88">
              <w:r>
                <w:rPr>
                  <w:rStyle w:val="InternetLink"/>
                  <w:rFonts w:ascii="Open Sans;sans-serif" w:hAnsi="Open Sans;sans-serif"/>
                  <w:b w:val="false"/>
                  <w:color w:val="0000FF"/>
                  <w:sz w:val="20"/>
                  <w:u w:val="single"/>
                </w:rPr>
                <w:t>27</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18">
              <w:r>
                <w:rPr>
                  <w:rStyle w:val="InternetLink"/>
                  <w:rFonts w:ascii="Open Sans;sans-serif" w:hAnsi="Open Sans;sans-serif"/>
                  <w:b w:val="false"/>
                  <w:color w:val="0000FF"/>
                  <w:sz w:val="20"/>
                  <w:u w:val="single"/>
                </w:rPr>
                <w:t>Item 3.</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6b0fd50ebe4404be9f3d5fe7d3f0d1_118">
              <w:r>
                <w:rPr>
                  <w:rStyle w:val="InternetLink"/>
                  <w:rFonts w:ascii="Open Sans;sans-serif" w:hAnsi="Open Sans;sans-serif"/>
                  <w:b w:val="false"/>
                  <w:color w:val="0000FF"/>
                  <w:sz w:val="20"/>
                  <w:u w:val="single"/>
                </w:rPr>
                <w:t>Quantitative and Qualitative Disclosures About Market Risk</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18">
              <w:r>
                <w:rPr>
                  <w:rStyle w:val="InternetLink"/>
                  <w:rFonts w:ascii="Open Sans;sans-serif" w:hAnsi="Open Sans;sans-serif"/>
                  <w:b w:val="false"/>
                  <w:color w:val="0000FF"/>
                  <w:sz w:val="20"/>
                  <w:u w:val="single"/>
                </w:rPr>
                <w:t>42</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21">
              <w:r>
                <w:rPr>
                  <w:rStyle w:val="InternetLink"/>
                  <w:rFonts w:ascii="Open Sans;sans-serif" w:hAnsi="Open Sans;sans-serif"/>
                  <w:b w:val="false"/>
                  <w:color w:val="0000FF"/>
                  <w:sz w:val="20"/>
                  <w:u w:val="single"/>
                </w:rPr>
                <w:t>Item 4.</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6b0fd50ebe4404be9f3d5fe7d3f0d1_121">
              <w:r>
                <w:rPr>
                  <w:rStyle w:val="InternetLink"/>
                  <w:rFonts w:ascii="Open Sans;sans-serif" w:hAnsi="Open Sans;sans-serif"/>
                  <w:b w:val="false"/>
                  <w:color w:val="0000FF"/>
                  <w:sz w:val="20"/>
                  <w:u w:val="single"/>
                </w:rPr>
                <w:t>Controls and Procedures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21">
              <w:r>
                <w:rPr>
                  <w:rStyle w:val="InternetLink"/>
                  <w:rFonts w:ascii="Open Sans;sans-serif" w:hAnsi="Open Sans;sans-serif"/>
                  <w:b w:val="false"/>
                  <w:color w:val="0000FF"/>
                  <w:sz w:val="20"/>
                  <w:u w:val="single"/>
                </w:rPr>
                <w:t>43</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24">
              <w:r>
                <w:rPr>
                  <w:rStyle w:val="InternetLink"/>
                  <w:rFonts w:ascii="Open Sans;sans-serif" w:hAnsi="Open Sans;sans-serif"/>
                  <w:b/>
                  <w:strike w:val="false"/>
                  <w:dstrike w:val="false"/>
                  <w:color w:val="000000"/>
                  <w:sz w:val="20"/>
                  <w:u w:val="none"/>
                  <w:effect w:val="none"/>
                </w:rPr>
                <w:t>Part II - Other Information</w:t>
              </w:r>
            </w:hyperlink>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27">
              <w:r>
                <w:rPr>
                  <w:rStyle w:val="InternetLink"/>
                  <w:rFonts w:ascii="Open Sans;sans-serif" w:hAnsi="Open Sans;sans-serif"/>
                  <w:b w:val="false"/>
                  <w:color w:val="0000FF"/>
                  <w:sz w:val="20"/>
                  <w:u w:val="single"/>
                </w:rPr>
                <w:t>Item 1.</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6b0fd50ebe4404be9f3d5fe7d3f0d1_127">
              <w:r>
                <w:rPr>
                  <w:rStyle w:val="InternetLink"/>
                  <w:rFonts w:ascii="Open Sans;sans-serif" w:hAnsi="Open Sans;sans-serif"/>
                  <w:b w:val="false"/>
                  <w:color w:val="0000FF"/>
                  <w:sz w:val="20"/>
                  <w:u w:val="single"/>
                </w:rPr>
                <w:t>Legal Proceedings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27">
              <w:r>
                <w:rPr>
                  <w:rStyle w:val="InternetLink"/>
                  <w:rFonts w:ascii="Open Sans;sans-serif" w:hAnsi="Open Sans;sans-serif"/>
                  <w:b w:val="false"/>
                  <w:color w:val="0000FF"/>
                  <w:sz w:val="20"/>
                  <w:u w:val="single"/>
                </w:rPr>
                <w:t>44</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30">
              <w:r>
                <w:rPr>
                  <w:rStyle w:val="InternetLink"/>
                  <w:rFonts w:ascii="Open Sans;sans-serif" w:hAnsi="Open Sans;sans-serif"/>
                  <w:b w:val="false"/>
                  <w:color w:val="0000FF"/>
                  <w:sz w:val="20"/>
                  <w:u w:val="single"/>
                </w:rPr>
                <w:t>Item 1A.</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6b0fd50ebe4404be9f3d5fe7d3f0d1_130">
              <w:r>
                <w:rPr>
                  <w:rStyle w:val="InternetLink"/>
                  <w:rFonts w:ascii="Open Sans;sans-serif" w:hAnsi="Open Sans;sans-serif"/>
                  <w:b w:val="false"/>
                  <w:color w:val="0000FF"/>
                  <w:sz w:val="20"/>
                  <w:u w:val="single"/>
                </w:rPr>
                <w:t>Risk Factors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30">
              <w:r>
                <w:rPr>
                  <w:rStyle w:val="InternetLink"/>
                  <w:rFonts w:ascii="Open Sans;sans-serif" w:hAnsi="Open Sans;sans-serif"/>
                  <w:b w:val="false"/>
                  <w:color w:val="0000FF"/>
                  <w:sz w:val="20"/>
                  <w:u w:val="single"/>
                </w:rPr>
                <w:t>44</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33">
              <w:r>
                <w:rPr>
                  <w:rStyle w:val="InternetLink"/>
                  <w:rFonts w:ascii="Open Sans;sans-serif" w:hAnsi="Open Sans;sans-serif"/>
                  <w:b w:val="false"/>
                  <w:color w:val="0000FF"/>
                  <w:sz w:val="20"/>
                  <w:u w:val="single"/>
                </w:rPr>
                <w:t>Item 2.</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6b0fd50ebe4404be9f3d5fe7d3f0d1_133">
              <w:r>
                <w:rPr>
                  <w:rStyle w:val="InternetLink"/>
                  <w:rFonts w:ascii="Open Sans;sans-serif" w:hAnsi="Open Sans;sans-serif"/>
                  <w:b w:val="false"/>
                  <w:color w:val="0000FF"/>
                  <w:sz w:val="20"/>
                  <w:u w:val="single"/>
                </w:rPr>
                <w:t>Unregistered Sales of Equity Securities and Use of Proceeds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33">
              <w:r>
                <w:rPr>
                  <w:rStyle w:val="InternetLink"/>
                  <w:rFonts w:ascii="Open Sans;sans-serif" w:hAnsi="Open Sans;sans-serif"/>
                  <w:b w:val="false"/>
                  <w:color w:val="0000FF"/>
                  <w:sz w:val="20"/>
                  <w:u w:val="single"/>
                </w:rPr>
                <w:t>46</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36">
              <w:r>
                <w:rPr>
                  <w:rStyle w:val="InternetLink"/>
                  <w:rFonts w:ascii="Open Sans;sans-serif" w:hAnsi="Open Sans;sans-serif"/>
                  <w:b w:val="false"/>
                  <w:color w:val="0000FF"/>
                  <w:sz w:val="20"/>
                  <w:u w:val="single"/>
                </w:rPr>
                <w:t>Item 3.</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6b0fd50ebe4404be9f3d5fe7d3f0d1_136">
              <w:r>
                <w:rPr>
                  <w:rStyle w:val="InternetLink"/>
                  <w:rFonts w:ascii="Open Sans;sans-serif" w:hAnsi="Open Sans;sans-serif"/>
                  <w:b w:val="false"/>
                  <w:color w:val="0000FF"/>
                  <w:sz w:val="20"/>
                  <w:u w:val="single"/>
                </w:rPr>
                <w:t>Defaults Upon Senior Securities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36">
              <w:r>
                <w:rPr>
                  <w:rStyle w:val="InternetLink"/>
                  <w:rFonts w:ascii="Open Sans;sans-serif" w:hAnsi="Open Sans;sans-serif"/>
                  <w:b w:val="false"/>
                  <w:color w:val="0000FF"/>
                  <w:sz w:val="20"/>
                  <w:u w:val="single"/>
                </w:rPr>
                <w:t>46</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39">
              <w:r>
                <w:rPr>
                  <w:rStyle w:val="InternetLink"/>
                  <w:rFonts w:ascii="Open Sans;sans-serif" w:hAnsi="Open Sans;sans-serif"/>
                  <w:b w:val="false"/>
                  <w:color w:val="0000FF"/>
                  <w:sz w:val="20"/>
                  <w:u w:val="single"/>
                </w:rPr>
                <w:t>Item 4.</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6b0fd50ebe4404be9f3d5fe7d3f0d1_139">
              <w:r>
                <w:rPr>
                  <w:rStyle w:val="InternetLink"/>
                  <w:rFonts w:ascii="Open Sans;sans-serif" w:hAnsi="Open Sans;sans-serif"/>
                  <w:b w:val="false"/>
                  <w:color w:val="0000FF"/>
                  <w:sz w:val="20"/>
                  <w:u w:val="single"/>
                </w:rPr>
                <w:t>Mine Safety Disclosures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39">
              <w:r>
                <w:rPr>
                  <w:rStyle w:val="InternetLink"/>
                  <w:rFonts w:ascii="Open Sans;sans-serif" w:hAnsi="Open Sans;sans-serif"/>
                  <w:b w:val="false"/>
                  <w:color w:val="0000FF"/>
                  <w:sz w:val="20"/>
                  <w:u w:val="single"/>
                </w:rPr>
                <w:t>46</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42">
              <w:r>
                <w:rPr>
                  <w:rStyle w:val="InternetLink"/>
                  <w:rFonts w:ascii="Open Sans;sans-serif" w:hAnsi="Open Sans;sans-serif"/>
                  <w:b w:val="false"/>
                  <w:color w:val="0000FF"/>
                  <w:sz w:val="20"/>
                  <w:u w:val="single"/>
                </w:rPr>
                <w:t>Item 5.</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6b0fd50ebe4404be9f3d5fe7d3f0d1_142">
              <w:r>
                <w:rPr>
                  <w:rStyle w:val="InternetLink"/>
                  <w:rFonts w:ascii="Open Sans;sans-serif" w:hAnsi="Open Sans;sans-serif"/>
                  <w:b w:val="false"/>
                  <w:color w:val="0000FF"/>
                  <w:sz w:val="20"/>
                  <w:u w:val="single"/>
                </w:rPr>
                <w:t>Other Information</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42">
              <w:r>
                <w:rPr>
                  <w:rStyle w:val="InternetLink"/>
                  <w:rFonts w:ascii="Open Sans;sans-serif" w:hAnsi="Open Sans;sans-serif"/>
                  <w:b w:val="false"/>
                  <w:color w:val="0000FF"/>
                  <w:sz w:val="20"/>
                  <w:u w:val="single"/>
                </w:rPr>
                <w:t>46</w:t>
              </w:r>
            </w:hyperlink>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48">
              <w:r>
                <w:rPr>
                  <w:rStyle w:val="InternetLink"/>
                  <w:rFonts w:ascii="Open Sans;sans-serif" w:hAnsi="Open Sans;sans-serif"/>
                  <w:b w:val="false"/>
                  <w:color w:val="0000FF"/>
                  <w:sz w:val="20"/>
                  <w:u w:val="single"/>
                </w:rPr>
                <w:t>Item 6.</w:t>
              </w:r>
            </w:hyperlink>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6b0fd50ebe4404be9f3d5fe7d3f0d1_148">
              <w:r>
                <w:rPr>
                  <w:rStyle w:val="InternetLink"/>
                  <w:rFonts w:ascii="Open Sans;sans-serif" w:hAnsi="Open Sans;sans-serif"/>
                  <w:b w:val="false"/>
                  <w:color w:val="0000FF"/>
                  <w:sz w:val="20"/>
                  <w:u w:val="single"/>
                </w:rPr>
                <w:t>Exhibits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48">
              <w:r>
                <w:rPr>
                  <w:rStyle w:val="InternetLink"/>
                  <w:rFonts w:ascii="Open Sans;sans-serif" w:hAnsi="Open Sans;sans-serif"/>
                  <w:b w:val="false"/>
                  <w:color w:val="0000FF"/>
                  <w:sz w:val="20"/>
                  <w:u w:val="single"/>
                </w:rPr>
                <w:t>47</w:t>
              </w:r>
            </w:hyperlink>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6b0fd50ebe4404be9f3d5fe7d3f0d1_151">
              <w:r>
                <w:rPr>
                  <w:rStyle w:val="InternetLink"/>
                  <w:rFonts w:ascii="Open Sans;sans-serif" w:hAnsi="Open Sans;sans-serif"/>
                  <w:b w:val="false"/>
                  <w:color w:val="0000FF"/>
                  <w:sz w:val="20"/>
                  <w:u w:val="single"/>
                </w:rPr>
                <w:t>Signatures</w:t>
              </w:r>
            </w:hyperlink>
          </w:p>
        </w:tc>
        <w:tc>
          <w:tcPr>
            <w:tcW w:w="70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6b0fd50ebe4404be9f3d5fe7d3f0d1_151">
              <w:r>
                <w:rPr>
                  <w:rStyle w:val="InternetLink"/>
                  <w:rFonts w:ascii="Open Sans;sans-serif" w:hAnsi="Open Sans;sans-serif"/>
                  <w:b w:val="false"/>
                  <w:color w:val="0000FF"/>
                  <w:sz w:val="20"/>
                  <w:u w:val="singl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2425"/>
                <wp:effectExtent l="0" t="0" r="0" b="0"/>
                <wp:wrapNone/>
                <wp:docPr id="2" name="Frame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Note About Forward-Looking Statements</w:t>
      </w:r>
    </w:p>
    <w:p>
      <w:pPr>
        <w:pStyle w:val="TextBody"/>
        <w:bidi w:val="0"/>
        <w:spacing w:lineRule="auto" w:line="288" w:before="180" w:after="283"/>
        <w:jc w:val="both"/>
        <w:rPr>
          <w:rFonts w:ascii="Open Sans;sans-serif" w:hAnsi="Open Sans;sans-serif"/>
          <w:b w:val="false"/>
          <w:i/>
          <w:color w:val="000000"/>
          <w:sz w:val="20"/>
        </w:rPr>
      </w:pPr>
      <w:r>
        <w:rPr>
          <w:rFonts w:ascii="Open Sans;sans-serif" w:hAnsi="Open Sans;sans-serif"/>
          <w:b w:val="false"/>
          <w:i/>
          <w:color w:val="000000"/>
          <w:sz w:val="20"/>
        </w:rPr>
        <w:t>This Quarterly Report on Form 10-Q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lineRule="auto" w:line="288" w:before="120" w:after="283"/>
        <w:ind w:left="0" w:right="0" w:hanging="360"/>
        <w:jc w:val="both"/>
        <w:rPr/>
      </w:pPr>
      <w:r>
        <w:rPr>
          <w:color w:val="000000"/>
        </w:rPr>
        <w:t>•</w:t>
      </w:r>
      <w:r>
        <w:rPr>
          <w:rFonts w:ascii="Open Sans;sans-serif" w:hAnsi="Open Sans;sans-serif"/>
          <w:b w:val="false"/>
          <w:i/>
          <w:color w:val="000000"/>
          <w:sz w:val="20"/>
        </w:rPr>
        <w:t>uncertainties related to U.S. and global economies and the effect on our business, results of operations, and financial condition;</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future financial performance and any fluctuations in such performance, including our net revenue, costs of revenue, gross profit, and operating expenses, and our ability to achieve future profitability;</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introduce and scale new products and services, such as our credit card platform;</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effectively manage or sustain our growth and expand our operations;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enhance our platform and services and develop and expand our capabilities;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further attract, retain, diversify, and expand our customer base;</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maintain our relationships with Issuing Banks, Card Networks, and the other third parties with which we work;</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strategies, plans, objectives, and goals;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plans to expand internationally;</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past and future acquisitions, investments, and other strategic investments;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compete in existing and new markets and offerings;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estimated market opportunity;</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economic and industry trends, projected growth, or trend analysis;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the impact of political, social, and/or economic instability or military conflict;</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develop and protect our brand;</w:t>
      </w:r>
    </w:p>
    <w:p>
      <w:pPr>
        <w:pStyle w:val="TextBody"/>
        <w:bidi w:val="0"/>
        <w:spacing w:lineRule="auto" w:line="288" w:before="60" w:after="283"/>
        <w:ind w:left="0" w:right="0" w:hanging="360"/>
        <w:jc w:val="left"/>
        <w:rPr/>
      </w:pPr>
      <w:r>
        <w:rPr>
          <w:color w:val="000000"/>
        </w:rPr>
        <w:t>•</w:t>
      </w:r>
      <w:r>
        <w:rPr>
          <w:rFonts w:ascii="Open Sans;sans-serif" w:hAnsi="Open Sans;sans-serif"/>
          <w:b w:val="false"/>
          <w:i/>
          <w:color w:val="000000"/>
          <w:sz w:val="20"/>
        </w:rPr>
        <w:t>changes or developments in laws and regulations and our ability to comply with laws and regulations;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successfully defend litigation brought against us;</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attract and retain qualified employees and key personnel;</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repurchase shares under authorized share repurchase programs and receive expected financial benefits; and</w:t>
      </w:r>
    </w:p>
    <w:p>
      <w:pPr>
        <w:pStyle w:val="TextBody"/>
        <w:bidi w:val="0"/>
        <w:spacing w:lineRule="auto" w:line="288" w:before="60" w:after="283"/>
        <w:ind w:left="0" w:right="0" w:hanging="360"/>
        <w:jc w:val="both"/>
        <w:rPr/>
      </w:pPr>
      <w:r>
        <w:rPr>
          <w:color w:val="000000"/>
        </w:rPr>
        <w:t>•</w:t>
      </w:r>
      <w:r>
        <w:rPr>
          <w:rFonts w:ascii="Open Sans;sans-serif" w:hAnsi="Open Sans;sans-serif"/>
          <w:b w:val="false"/>
          <w:i/>
          <w:color w:val="000000"/>
          <w:sz w:val="20"/>
        </w:rPr>
        <w:t>our ability to maintain effective disclosure controls and internal controls over financial reporting.</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2425"/>
                <wp:effectExtent l="0" t="0" r="0" b="0"/>
                <wp:wrapNone/>
                <wp:docPr id="3" name="Frame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Open Sans;sans-serif" w:hAnsi="Open Sans;sans-serif"/>
          <w:b w:val="false"/>
          <w:i/>
          <w:color w:val="000000"/>
          <w:sz w:val="20"/>
        </w:rPr>
      </w:pPr>
      <w:r>
        <w:rPr>
          <w:rFonts w:ascii="Open Sans;sans-serif" w:hAnsi="Open Sans;sans-serif"/>
          <w:b w:val="false"/>
          <w:i/>
          <w:color w:val="000000"/>
          <w:sz w:val="20"/>
        </w:rPr>
        <w:t>We caution you that the foregoing list may not contain all of the forward-looking statements made in this Quarterly Report on Form 10-Q. 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or incorporated by reference in the sections titled “Risk Factors” in our most recently filed Annual Report on Form 10-K for the fiscal year ended December 31, 2025 (the “2025 Annual Report”), as updated by our Quarterly Report on Form 10-Q filed with the SEC on May 5, 2026, and as may be updated from time to time by this Quarterly Report on Form 10-Q or other quarterly or periodic filings.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Unless otherwise indicated or unless the context requires otherwise, all references in this document to “Marqeta”, the “Company”, the “Registrant,” “we”, “us”, “our”, or similar references are to Marqeta, Inc. Capitalized terms used and not defined above are defined elsewhere within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2425"/>
                <wp:effectExtent l="0" t="0" r="0" b="0"/>
                <wp:wrapNone/>
                <wp:docPr id="4" name="Frame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Open Sans;sans-serif" w:hAnsi="Open Sans;sans-serif"/>
          <w:b/>
          <w:color w:val="000000"/>
          <w:sz w:val="20"/>
        </w:rPr>
      </w:pPr>
      <w:r>
        <w:rPr>
          <w:rFonts w:ascii="Open Sans;sans-serif" w:hAnsi="Open Sans;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Balance Sheets</w:t>
      </w:r>
    </w:p>
    <w:p>
      <w:pPr>
        <w:pStyle w:val="TextBody"/>
        <w:bidi w:val="0"/>
        <w:spacing w:lineRule="auto" w:line="288" w:before="0" w:after="20"/>
        <w:jc w:val="center"/>
        <w:rPr>
          <w:rFonts w:ascii="Open Sans;sans-serif" w:hAnsi="Open Sans;sans-serif"/>
          <w:b/>
          <w:color w:val="000000"/>
          <w:sz w:val="16"/>
        </w:rPr>
      </w:pPr>
      <w:r>
        <w:rPr>
          <w:rFonts w:ascii="Open Sans;sans-serif" w:hAnsi="Open Sans;sans-serif"/>
          <w:b/>
          <w:color w:val="000000"/>
          <w:sz w:val="16"/>
        </w:rPr>
        <w:t>(in thousands, except per share amounts)</w:t>
      </w:r>
    </w:p>
    <w:p>
      <w:pPr>
        <w:pStyle w:val="TextBody"/>
        <w:bidi w:val="0"/>
        <w:spacing w:lineRule="auto" w:line="288" w:before="0" w:after="120"/>
        <w:jc w:val="center"/>
        <w:rPr>
          <w:rFonts w:ascii="Open Sans;sans-serif" w:hAnsi="Open Sans;sans-serif"/>
          <w:b/>
          <w:color w:val="000000"/>
          <w:sz w:val="16"/>
        </w:rPr>
      </w:pPr>
      <w:r>
        <w:rPr>
          <w:rFonts w:ascii="Open Sans;sans-serif" w:hAnsi="Open Sans;sans-serif"/>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876"/>
        <w:gridCol w:w="2205"/>
        <w:gridCol w:w="2158"/>
        <w:gridCol w:w="211"/>
        <w:gridCol w:w="976"/>
        <w:gridCol w:w="109"/>
        <w:gridCol w:w="109"/>
        <w:gridCol w:w="109"/>
        <w:gridCol w:w="109"/>
        <w:gridCol w:w="211"/>
        <w:gridCol w:w="976"/>
        <w:gridCol w:w="156"/>
      </w:tblGrid>
      <w:tr>
        <w:trPr/>
        <w:tc>
          <w:tcPr>
            <w:tcW w:w="2876"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December 31,</w:t>
              <w:br/>
              <w:t>2025</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691,418 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709,443 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260,553 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307,593 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62,483 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50,950 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41,422 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Network incentives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33,005 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61,059 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Settlements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18,037 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38,395 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35,278 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current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1,102,110 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1,235,315 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67,056 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59,910 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Operating lease right-of-use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8,275 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45,915 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51,388 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153,760 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154,706 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15,439 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1,392,226 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1,525,033 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Revenue share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222,257 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224,526 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17"/>
              </w:rPr>
            </w:pPr>
            <w:r>
              <w:rPr>
                <w:rFonts w:ascii="Open Sans;sans-serif" w:hAnsi="Open Sans;sans-serif"/>
                <w:b w:val="false"/>
                <w:color w:val="000000"/>
                <w:sz w:val="17"/>
              </w:rPr>
              <w:t>Funds payable and amounts due to customers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260,353 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306,891 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Accrued expenses and 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178,526 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215,793 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662,298 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749,057 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Operating lease liabilities,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5,535 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8,484 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676,669 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763,076 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Commitments and contingencies (Note 9)</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7"/>
              </w:rPr>
              <w:t xml:space="preserve">Stockholders’ equity: </w:t>
            </w:r>
            <w:r>
              <w:rPr>
                <w:rFonts w:ascii="Open Sans;sans-serif" w:hAnsi="Open Sans;sans-serif"/>
                <w:b w:val="false"/>
                <w:color w:val="000000"/>
                <w:sz w:val="11"/>
              </w:rPr>
              <w:t>(1)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7"/>
              </w:rPr>
            </w:pPr>
            <w:r>
              <w:rPr>
                <w:rFonts w:ascii="Open Sans;sans-serif" w:hAnsi="Open Sans;sans-serif"/>
                <w:b w:val="false"/>
                <w:color w:val="000000"/>
                <w:sz w:val="17"/>
              </w:rPr>
              <w:t>Preferred stock, $0.0001 par value; 25,000 and 25,000 shares authorized, no shares issued and outstanding as of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7"/>
              </w:rPr>
            </w:pPr>
            <w:r>
              <w:rPr>
                <w:rFonts w:ascii="Open Sans;sans-serif" w:hAnsi="Open Sans;sans-serif"/>
                <w:b w:val="false"/>
                <w:color w:val="000000"/>
                <w:sz w:val="17"/>
              </w:rPr>
              <w:t>Common stock, $0.0001 par value: 375,000 and 375,000 Class A shares authorized, 95,916 and 99,848 shares issued and outstanding as of June 30, 2026 and December 31, 2025, respectively. 150,000 and 150,000 Class B shares authorized, 8,187 and 8,216 shares issued and outstanding as of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1,512,587 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1,572,270 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Accumulated other comprehensive (loss)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(796,432)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(811,833)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stockholders’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715,557 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761,957 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1,392,226 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1,525,033 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3"/>
        </w:rPr>
        <w:t>(1)</w:t>
      </w:r>
      <w:r>
        <w:rPr>
          <w:rFonts w:ascii="Open Sans;sans-serif" w:hAnsi="Open Sans;sans-serif"/>
          <w:b w:val="false"/>
          <w:color w:val="000000"/>
          <w:sz w:val="14"/>
        </w:rPr>
        <w:t xml:space="preserve">Reflects the one-for-four reverse stock split that was effective June 30, 2026, which has been applied retrospectively to all periods presented. Refer to Note 1, “Business Overview and Basis of Presentation”, for further information. </w:t>
      </w:r>
    </w:p>
    <w:p>
      <w:pPr>
        <w:pStyle w:val="TextBody"/>
        <w:bidi w:val="0"/>
        <w:spacing w:lineRule="auto" w:line="288" w:before="240" w:after="283"/>
        <w:jc w:val="center"/>
        <w:rPr>
          <w:rFonts w:ascii="Open Sans;sans-serif" w:hAnsi="Open Sans;sans-serif"/>
          <w:b w:val="false"/>
          <w:color w:val="000000"/>
          <w:sz w:val="18"/>
        </w:rPr>
      </w:pPr>
      <w:r>
        <w:rPr>
          <w:rFonts w:ascii="Open Sans;sans-serif" w:hAnsi="Open Sans;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2425"/>
                <wp:effectExtent l="0" t="0" r="0" b="0"/>
                <wp:wrapNone/>
                <wp:docPr id="5" name="Frame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Statements of Operations and Comprehensive Income (Loss)</w:t>
      </w:r>
    </w:p>
    <w:p>
      <w:pPr>
        <w:pStyle w:val="TextBody"/>
        <w:bidi w:val="0"/>
        <w:spacing w:lineRule="auto" w:line="288" w:before="0" w:after="20"/>
        <w:jc w:val="center"/>
        <w:rPr>
          <w:rFonts w:ascii="Open Sans;sans-serif" w:hAnsi="Open Sans;sans-serif"/>
          <w:b/>
          <w:color w:val="000000"/>
          <w:sz w:val="16"/>
        </w:rPr>
      </w:pPr>
      <w:r>
        <w:rPr>
          <w:rFonts w:ascii="Open Sans;sans-serif" w:hAnsi="Open Sans;sans-serif"/>
          <w:b/>
          <w:color w:val="000000"/>
          <w:sz w:val="16"/>
        </w:rPr>
        <w:t>(in thousands, except per share amounts)</w:t>
      </w:r>
    </w:p>
    <w:p>
      <w:pPr>
        <w:pStyle w:val="TextBody"/>
        <w:bidi w:val="0"/>
        <w:spacing w:lineRule="auto" w:line="288" w:before="0" w:after="240"/>
        <w:jc w:val="center"/>
        <w:rPr>
          <w:rFonts w:ascii="Open Sans;sans-serif" w:hAnsi="Open Sans;sans-serif"/>
          <w:b/>
          <w:color w:val="000000"/>
          <w:sz w:val="16"/>
        </w:rPr>
      </w:pPr>
      <w:r>
        <w:rPr>
          <w:rFonts w:ascii="Open Sans;sans-serif" w:hAnsi="Open Sans;sans-serif"/>
          <w:b/>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2028"/>
        <w:gridCol w:w="1329"/>
        <w:gridCol w:w="123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202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Six Months Ended June 30,</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2025</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175,995 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150,392 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341,793 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289,465 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Costs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54,122 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46,331 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86,725 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121,873 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104,061 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239,465 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202,740 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78,262 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156,280 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167,459 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36,483 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30,913 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11,984 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9,914 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Marketing and advertising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Occupancy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7,296 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118,237 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113,289 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233,735 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230,506 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Income (loss) from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3,636 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(9,228)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5,730 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(27,766)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19,300 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Income (loss) before income tax expense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8,072 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16,099 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(8,466)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7,567 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15,401 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(8,907)</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Other comprehensive (loss) income, net of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Change in foreign currency translation adjustment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Net change in unrealized loss on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Net other comprehensive (loss)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(2,117)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212 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Comprehensive income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7,269 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13,284 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(8,695)</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7"/>
              </w:rPr>
              <w:t xml:space="preserve">Net income (loss) per share attributable to Class A and Class B common stockholders </w:t>
            </w:r>
            <w:r>
              <w:rPr>
                <w:rFonts w:ascii="Open Sans;sans-serif" w:hAnsi="Open Sans;sans-serif"/>
                <w:b/>
                <w:color w:val="000000"/>
                <w:sz w:val="11"/>
              </w:rPr>
              <w:t>(1)</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(0.07)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7"/>
              </w:rPr>
              <w:t xml:space="preserve">Weighted-average shares used in computing net income (loss) per share attributable to Class A and Class B common stockholders </w:t>
            </w:r>
            <w:r>
              <w:rPr>
                <w:rFonts w:ascii="Open Sans;sans-serif" w:hAnsi="Open Sans;sans-serif"/>
                <w:b/>
                <w:color w:val="000000"/>
                <w:sz w:val="11"/>
              </w:rPr>
              <w:t>(1)</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105,465 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115,379 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106,304 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120,315 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106,797 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115,379 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107,591 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120,315 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3"/>
        </w:rPr>
        <w:t xml:space="preserve">(1) </w:t>
      </w:r>
      <w:r>
        <w:rPr>
          <w:rFonts w:ascii="Open Sans;sans-serif" w:hAnsi="Open Sans;sans-serif"/>
          <w:b w:val="false"/>
          <w:color w:val="000000"/>
          <w:sz w:val="14"/>
        </w:rPr>
        <w:t xml:space="preserve">Reflects the one-for-four reverse stock split that was effective June 30, 2026, which has been applied retrospectively to all periods presented. Refer to Note 1, “Business Overview and Basis of Presentation”, for further information. </w:t>
      </w:r>
    </w:p>
    <w:p>
      <w:pPr>
        <w:pStyle w:val="TextBody"/>
        <w:bidi w:val="0"/>
        <w:spacing w:lineRule="auto" w:line="288" w:before="240" w:after="283"/>
        <w:jc w:val="center"/>
        <w:rPr>
          <w:rFonts w:ascii="Open Sans;sans-serif" w:hAnsi="Open Sans;sans-serif"/>
          <w:b w:val="false"/>
          <w:color w:val="000000"/>
          <w:sz w:val="18"/>
        </w:rPr>
      </w:pPr>
      <w:r>
        <w:rPr>
          <w:rFonts w:ascii="Open Sans;sans-serif" w:hAnsi="Open Sans;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2425"/>
                <wp:effectExtent l="0" t="0" r="0" b="0"/>
                <wp:wrapNone/>
                <wp:docPr id="6" name="Frame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Statements of Stockholders' Equity</w:t>
      </w:r>
    </w:p>
    <w:p>
      <w:pPr>
        <w:pStyle w:val="TextBody"/>
        <w:bidi w:val="0"/>
        <w:spacing w:lineRule="auto" w:line="288" w:before="0" w:after="20"/>
        <w:jc w:val="center"/>
        <w:rPr>
          <w:rFonts w:ascii="Open Sans;sans-serif" w:hAnsi="Open Sans;sans-serif"/>
          <w:b/>
          <w:color w:val="000000"/>
          <w:sz w:val="16"/>
        </w:rPr>
      </w:pPr>
      <w:r>
        <w:rPr>
          <w:rFonts w:ascii="Open Sans;sans-serif" w:hAnsi="Open Sans;sans-serif"/>
          <w:b/>
          <w:color w:val="000000"/>
          <w:sz w:val="16"/>
        </w:rPr>
        <w:t>(in thousands)</w:t>
      </w:r>
    </w:p>
    <w:p>
      <w:pPr>
        <w:pStyle w:val="TextBody"/>
        <w:bidi w:val="0"/>
        <w:spacing w:lineRule="auto" w:line="288" w:before="0" w:after="240"/>
        <w:jc w:val="center"/>
        <w:rPr>
          <w:rFonts w:ascii="Open Sans;sans-serif" w:hAnsi="Open Sans;sans-serif"/>
          <w:b/>
          <w:color w:val="000000"/>
          <w:sz w:val="16"/>
        </w:rPr>
      </w:pPr>
      <w:r>
        <w:rPr>
          <w:rFonts w:ascii="Open Sans;sans-serif" w:hAnsi="Open Sans;sans-serif"/>
          <w:b/>
          <w:color w:val="000000"/>
          <w:sz w:val="16"/>
        </w:rPr>
        <w:t>(unaudited)</w:t>
      </w:r>
    </w:p>
    <w:tbl>
      <w:tblPr>
        <w:tblW w:w="10563" w:type="dxa"/>
        <w:jc w:val="center"/>
        <w:tblInd w:w="0" w:type="dxa"/>
        <w:tblLayout w:type="fixed"/>
        <w:tblCellMar>
          <w:top w:w="28" w:type="dxa"/>
          <w:left w:w="28" w:type="dxa"/>
          <w:bottom w:w="28" w:type="dxa"/>
          <w:right w:w="28" w:type="dxa"/>
        </w:tblCellMar>
      </w:tblPr>
      <w:tblGrid>
        <w:gridCol w:w="765"/>
        <w:gridCol w:w="330"/>
        <w:gridCol w:w="331"/>
        <w:gridCol w:w="413"/>
        <w:gridCol w:w="413"/>
        <w:gridCol w:w="246"/>
        <w:gridCol w:w="109"/>
        <w:gridCol w:w="109"/>
        <w:gridCol w:w="109"/>
        <w:gridCol w:w="260"/>
        <w:gridCol w:w="445"/>
        <w:gridCol w:w="136"/>
        <w:gridCol w:w="109"/>
        <w:gridCol w:w="109"/>
        <w:gridCol w:w="109"/>
        <w:gridCol w:w="211"/>
        <w:gridCol w:w="976"/>
        <w:gridCol w:w="109"/>
        <w:gridCol w:w="109"/>
        <w:gridCol w:w="109"/>
        <w:gridCol w:w="109"/>
        <w:gridCol w:w="345"/>
        <w:gridCol w:w="1007"/>
        <w:gridCol w:w="179"/>
        <w:gridCol w:w="109"/>
        <w:gridCol w:w="109"/>
        <w:gridCol w:w="109"/>
        <w:gridCol w:w="240"/>
        <w:gridCol w:w="956"/>
        <w:gridCol w:w="125"/>
        <w:gridCol w:w="109"/>
        <w:gridCol w:w="109"/>
        <w:gridCol w:w="109"/>
        <w:gridCol w:w="255"/>
        <w:gridCol w:w="999"/>
        <w:gridCol w:w="187"/>
      </w:tblGrid>
      <w:tr>
        <w:trPr/>
        <w:tc>
          <w:tcPr>
            <w:tcW w:w="76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color w:val="000000"/>
                <w:sz w:val="16"/>
              </w:rPr>
              <w:t xml:space="preserve">Additional Paid-in Capital </w:t>
            </w:r>
            <w:r>
              <w:rPr>
                <w:rFonts w:ascii="Open Sans;sans-serif" w:hAnsi="Open Sans;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Total Stockholders’ Equity</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color w:val="000000"/>
                <w:sz w:val="16"/>
              </w:rPr>
              <w:t xml:space="preserve">Shares </w:t>
            </w:r>
            <w:r>
              <w:rPr>
                <w:rFonts w:ascii="Open Sans;sans-serif" w:hAnsi="Open Sans;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color w:val="000000"/>
                <w:sz w:val="16"/>
              </w:rPr>
              <w:t xml:space="preserve">Amount </w:t>
            </w:r>
            <w:r>
              <w:rPr>
                <w:rFonts w:ascii="Open Sans;sans-serif" w:hAnsi="Open Sans;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Balance as of December 31, 2025</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108,064 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1,572,270 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0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1,509 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(811,833)</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761,957 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Repurchase and retirement of common stock, including excise tax</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(2,351)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(39,575)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Share-based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22,623 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net settlement of restricted stock units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717 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(8,789)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exercise of options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Change in accumulated other comprehensive income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(1,819)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(1,819)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income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7,834 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7,834 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Balance as of March 31, 2026</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106,438 </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4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1,546,580 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0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(310)</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(803,999)</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742,282 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Repurchase and retirement of common stock, including excise tax</w:t>
            </w:r>
          </w:p>
        </w:tc>
        <w:tc>
          <w:tcPr>
            <w:tcW w:w="82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(3,211)</w:t>
            </w:r>
          </w:p>
        </w:tc>
        <w:tc>
          <w:tcPr>
            <w:tcW w:w="24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w:t>
            </w:r>
          </w:p>
        </w:tc>
        <w:tc>
          <w:tcPr>
            <w:tcW w:w="13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(51,699)</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(51,700)</w:t>
            </w:r>
          </w:p>
        </w:tc>
        <w:tc>
          <w:tcPr>
            <w:tcW w:w="18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Share-based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24,744 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net settlement of restricted stock units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(7,894)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under employee stock purchase plan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855 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exercise of options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Change in accumulated other comprehensive income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(298)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income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7,567 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7,567 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Balance as of June 30, 2026</w:t>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104,103 </w:t>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4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1,512,587 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0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(608)</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(796,432)</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715,557 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2425"/>
                <wp:effectExtent l="0" t="0" r="0" b="0"/>
                <wp:wrapNone/>
                <wp:docPr id="7" name="Frame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36b0fd50ebe4404be9f3d5fe7d3f0d1_7">
        <w:r>
          <w:rPr>
            <w:rStyle w:val="InternetLink"/>
            <w:rFonts w:ascii="Open Sans;sans-serif" w:hAnsi="Open Sans;sans-serif"/>
            <w:b w:val="false"/>
            <w:color w:val="0000FF"/>
            <w:sz w:val="18"/>
            <w:u w:val="single"/>
          </w:rPr>
          <w:t>Table of Contents</w:t>
        </w:r>
      </w:hyperlink>
    </w:p>
    <w:tbl>
      <w:tblPr>
        <w:tblW w:w="10563" w:type="dxa"/>
        <w:jc w:val="center"/>
        <w:tblInd w:w="0" w:type="dxa"/>
        <w:tblLayout w:type="fixed"/>
        <w:tblCellMar>
          <w:top w:w="28" w:type="dxa"/>
          <w:left w:w="28" w:type="dxa"/>
          <w:bottom w:w="28" w:type="dxa"/>
          <w:right w:w="28" w:type="dxa"/>
        </w:tblCellMar>
      </w:tblPr>
      <w:tblGrid>
        <w:gridCol w:w="765"/>
        <w:gridCol w:w="330"/>
        <w:gridCol w:w="331"/>
        <w:gridCol w:w="413"/>
        <w:gridCol w:w="413"/>
        <w:gridCol w:w="246"/>
        <w:gridCol w:w="109"/>
        <w:gridCol w:w="109"/>
        <w:gridCol w:w="109"/>
        <w:gridCol w:w="260"/>
        <w:gridCol w:w="445"/>
        <w:gridCol w:w="136"/>
        <w:gridCol w:w="109"/>
        <w:gridCol w:w="109"/>
        <w:gridCol w:w="109"/>
        <w:gridCol w:w="211"/>
        <w:gridCol w:w="976"/>
        <w:gridCol w:w="109"/>
        <w:gridCol w:w="109"/>
        <w:gridCol w:w="109"/>
        <w:gridCol w:w="109"/>
        <w:gridCol w:w="403"/>
        <w:gridCol w:w="919"/>
        <w:gridCol w:w="209"/>
        <w:gridCol w:w="109"/>
        <w:gridCol w:w="109"/>
        <w:gridCol w:w="109"/>
        <w:gridCol w:w="240"/>
        <w:gridCol w:w="956"/>
        <w:gridCol w:w="125"/>
        <w:gridCol w:w="109"/>
        <w:gridCol w:w="109"/>
        <w:gridCol w:w="109"/>
        <w:gridCol w:w="226"/>
        <w:gridCol w:w="1048"/>
        <w:gridCol w:w="167"/>
      </w:tblGrid>
      <w:tr>
        <w:trPr/>
        <w:tc>
          <w:tcPr>
            <w:tcW w:w="76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color w:val="000000"/>
                <w:sz w:val="16"/>
              </w:rPr>
              <w:t xml:space="preserve">Additional Paid-in Capital </w:t>
            </w:r>
            <w:r>
              <w:rPr>
                <w:rFonts w:ascii="Open Sans;sans-serif" w:hAnsi="Open Sans;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Total Stockholders’ Equity</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color w:val="000000"/>
                <w:sz w:val="16"/>
              </w:rPr>
              <w:t xml:space="preserve">Shares </w:t>
            </w:r>
            <w:r>
              <w:rPr>
                <w:rFonts w:ascii="Open Sans;sans-serif" w:hAnsi="Open Sans;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color w:val="000000"/>
                <w:sz w:val="16"/>
              </w:rPr>
              <w:t xml:space="preserve">Amount </w:t>
            </w:r>
            <w:r>
              <w:rPr>
                <w:rFonts w:ascii="Open Sans;sans-serif" w:hAnsi="Open Sans;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Balance as of December 31, 2024</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126,074 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4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1,883,227 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(314)</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(797,908)</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0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1,085,018 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Repurchase and retirement of common stock, including excise tax</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(6,556)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(112,315)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(112,316)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Share-based compensation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28,437 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net settlement of restricted stock units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632 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(7,101)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exercise of options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1,444 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Change in accumulated other comprehensive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(8,260)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(8,260)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Balance as of March 31, 2025</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120,245 </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4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1,793,692 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(276)</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(806,168)</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0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987,260 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Repurchase and retirement of common stock, including excise tax</w:t>
            </w:r>
          </w:p>
        </w:tc>
        <w:tc>
          <w:tcPr>
            <w:tcW w:w="82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(8,811)</w:t>
            </w:r>
          </w:p>
        </w:tc>
        <w:tc>
          <w:tcPr>
            <w:tcW w:w="24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w:t>
            </w:r>
          </w:p>
        </w:tc>
        <w:tc>
          <w:tcPr>
            <w:tcW w:w="13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(164,999)</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(165,000)</w:t>
            </w:r>
          </w:p>
        </w:tc>
        <w:tc>
          <w:tcPr>
            <w:tcW w:w="16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Share-based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30,257 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net settlement of restricted stock units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(9,741)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under employee stock purchase plan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75 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exercise of options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21 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Issuance of common stock upon exercise of common stock warrants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Change in accumulated other comprehensive income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174 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(647)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(647)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Balance as of June 30, 2025</w:t>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112,365 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1,650,339 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(102)</w:t>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9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(806,815)</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10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843,433 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13"/>
        </w:rPr>
        <w:t>(1)</w:t>
      </w:r>
      <w:r>
        <w:rPr>
          <w:rFonts w:ascii="Open Sans;sans-serif" w:hAnsi="Open Sans;sans-serif"/>
          <w:b w:val="false"/>
          <w:color w:val="000000"/>
          <w:sz w:val="18"/>
        </w:rPr>
        <w:t>R</w:t>
      </w:r>
      <w:r>
        <w:rPr>
          <w:rFonts w:ascii="Open Sans;sans-serif" w:hAnsi="Open Sans;sans-serif"/>
          <w:b w:val="false"/>
          <w:color w:val="000000"/>
          <w:sz w:val="14"/>
        </w:rPr>
        <w:t xml:space="preserve">eflects the one-for-four reverse stock split that was effective June 30, 2026, which has been applied retrospectively to all periods presented. Refer to Note 1, “Business Overview and Basis of Presentation”, for further information. </w:t>
      </w:r>
    </w:p>
    <w:p>
      <w:pPr>
        <w:pStyle w:val="TextBody"/>
        <w:bidi w:val="0"/>
        <w:spacing w:before="0" w:after="240"/>
        <w:jc w:val="left"/>
        <w:rPr/>
      </w:pPr>
      <w:r>
        <w:rPr/>
      </w:r>
    </w:p>
    <w:p>
      <w:pPr>
        <w:pStyle w:val="TextBody"/>
        <w:bidi w:val="0"/>
        <w:spacing w:lineRule="auto" w:line="288" w:before="60" w:after="240"/>
        <w:jc w:val="center"/>
        <w:rPr>
          <w:rFonts w:ascii="Open Sans;sans-serif" w:hAnsi="Open Sans;sans-serif"/>
          <w:b w:val="false"/>
          <w:color w:val="000000"/>
          <w:sz w:val="18"/>
        </w:rPr>
      </w:pPr>
      <w:r>
        <w:rPr>
          <w:rFonts w:ascii="Open Sans;sans-serif" w:hAnsi="Open Sans;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2425"/>
                <wp:effectExtent l="0" t="0" r="0" b="0"/>
                <wp:wrapNone/>
                <wp:docPr id="8" name="Frame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Statements of Cash Flows</w:t>
      </w:r>
    </w:p>
    <w:p>
      <w:pPr>
        <w:pStyle w:val="TextBody"/>
        <w:bidi w:val="0"/>
        <w:spacing w:lineRule="auto" w:line="288" w:before="0" w:after="20"/>
        <w:jc w:val="center"/>
        <w:rPr>
          <w:rFonts w:ascii="Open Sans;sans-serif" w:hAnsi="Open Sans;sans-serif"/>
          <w:b/>
          <w:color w:val="000000"/>
          <w:sz w:val="16"/>
        </w:rPr>
      </w:pPr>
      <w:r>
        <w:rPr>
          <w:rFonts w:ascii="Open Sans;sans-serif" w:hAnsi="Open Sans;sans-serif"/>
          <w:b/>
          <w:color w:val="000000"/>
          <w:sz w:val="16"/>
        </w:rPr>
        <w:t>(in thousands)</w:t>
      </w:r>
    </w:p>
    <w:p>
      <w:pPr>
        <w:pStyle w:val="TextBody"/>
        <w:bidi w:val="0"/>
        <w:spacing w:lineRule="auto" w:line="288" w:before="0" w:after="120"/>
        <w:jc w:val="center"/>
        <w:rPr>
          <w:rFonts w:ascii="Open Sans;sans-serif" w:hAnsi="Open Sans;sans-serif"/>
          <w:b/>
          <w:color w:val="000000"/>
          <w:sz w:val="16"/>
        </w:rPr>
      </w:pPr>
      <w:r>
        <w:rPr>
          <w:rFonts w:ascii="Open Sans;sans-serif" w:hAnsi="Open Sans;sans-serif"/>
          <w:b/>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2900"/>
        <w:gridCol w:w="2316"/>
        <w:gridCol w:w="2324"/>
        <w:gridCol w:w="211"/>
        <w:gridCol w:w="826"/>
        <w:gridCol w:w="109"/>
        <w:gridCol w:w="109"/>
        <w:gridCol w:w="109"/>
        <w:gridCol w:w="109"/>
        <w:gridCol w:w="211"/>
        <w:gridCol w:w="826"/>
        <w:gridCol w:w="155"/>
      </w:tblGrid>
      <w:tr>
        <w:trPr/>
        <w:tc>
          <w:tcPr>
            <w:tcW w:w="2900"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Six Months Ended June 30,</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2025</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(8,907)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Adjustments to reconcile net income (loss) to net cash (used in)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52,985 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11,984 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Non-cash operating leases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Accretion of discount on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(7,642)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Network incentives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28,054 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(18,309)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Settlements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1,230 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4,278 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2,913 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Revenue share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6,241 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Accrued expenses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(28,317)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(21,323)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(2,223)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cash provided by operating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59,809 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22,534 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Maturities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52,893 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90,918 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Capitalization of internal-use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(13,598)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Net cash provided by investing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35,252 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75,719 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Repurchase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(93,880)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(275,233)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Change in funds payable and amounts due to customers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(46,538)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Taxes paid related to net share settlement of restricted stock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(16,683)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(15,887)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Payment of acquisition-related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Proceeds from shares issued in connection with employee stock purchase plan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Proceeds from exercise of stock options, including early exercised stock options, net of repurchase of early exercised unvested options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Net cash used in financing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(158,926)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(288,546)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Net decrease in cash, cash equivalents, and restricted cash</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(63,865)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(190,293)</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Cash, cash equivalents, and restricted cash-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1,017,931 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931,516 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Cash, cash equivalents, and restricted cash -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954,066 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741,223 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Open Sans;sans-serif" w:hAnsi="Open Sans;sans-serif"/>
          <w:b w:val="false"/>
          <w:color w:val="000000"/>
          <w:sz w:val="18"/>
        </w:rPr>
      </w:pPr>
      <w:r>
        <w:rPr>
          <w:rFonts w:ascii="Open Sans;sans-serif" w:hAnsi="Open Sans;sans-serif"/>
          <w:b w:val="false"/>
          <w:color w:val="000000"/>
          <w:sz w:val="18"/>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2425"/>
                <wp:effectExtent l="0" t="0" r="0" b="0"/>
                <wp:wrapNone/>
                <wp:docPr id="9" name="Frame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Condensed Consolidated Statements of Cash Flows</w:t>
      </w:r>
    </w:p>
    <w:p>
      <w:pPr>
        <w:pStyle w:val="TextBody"/>
        <w:bidi w:val="0"/>
        <w:spacing w:lineRule="auto" w:line="288" w:before="0" w:after="20"/>
        <w:jc w:val="center"/>
        <w:rPr>
          <w:rFonts w:ascii="Open Sans;sans-serif" w:hAnsi="Open Sans;sans-serif"/>
          <w:b/>
          <w:color w:val="000000"/>
          <w:sz w:val="16"/>
        </w:rPr>
      </w:pPr>
      <w:r>
        <w:rPr>
          <w:rFonts w:ascii="Open Sans;sans-serif" w:hAnsi="Open Sans;sans-serif"/>
          <w:b/>
          <w:color w:val="000000"/>
          <w:sz w:val="16"/>
        </w:rPr>
        <w:t>(in thousands)</w:t>
      </w:r>
    </w:p>
    <w:p>
      <w:pPr>
        <w:pStyle w:val="TextBody"/>
        <w:bidi w:val="0"/>
        <w:spacing w:lineRule="auto" w:line="288" w:before="0" w:after="240"/>
        <w:jc w:val="center"/>
        <w:rPr>
          <w:rFonts w:ascii="Open Sans;sans-serif" w:hAnsi="Open Sans;sans-serif"/>
          <w:b/>
          <w:color w:val="000000"/>
          <w:sz w:val="16"/>
        </w:rPr>
      </w:pPr>
      <w:r>
        <w:rPr>
          <w:rFonts w:ascii="Open Sans;sans-serif" w:hAnsi="Open Sans;sans-serif"/>
          <w:b/>
          <w:color w:val="000000"/>
          <w:sz w:val="16"/>
        </w:rPr>
        <w:t>(unaudited)</w:t>
      </w:r>
    </w:p>
    <w:tbl>
      <w:tblPr>
        <w:tblW w:w="9623" w:type="dxa"/>
        <w:jc w:val="center"/>
        <w:tblInd w:w="0" w:type="dxa"/>
        <w:tblLayout w:type="fixed"/>
        <w:tblCellMar>
          <w:top w:w="28" w:type="dxa"/>
          <w:left w:w="28" w:type="dxa"/>
          <w:bottom w:w="28" w:type="dxa"/>
          <w:right w:w="28" w:type="dxa"/>
        </w:tblCellMar>
      </w:tblPr>
      <w:tblGrid>
        <w:gridCol w:w="2518"/>
        <w:gridCol w:w="2218"/>
        <w:gridCol w:w="2223"/>
        <w:gridCol w:w="211"/>
        <w:gridCol w:w="826"/>
        <w:gridCol w:w="109"/>
        <w:gridCol w:w="109"/>
        <w:gridCol w:w="109"/>
        <w:gridCol w:w="109"/>
        <w:gridCol w:w="211"/>
        <w:gridCol w:w="826"/>
        <w:gridCol w:w="154"/>
      </w:tblGrid>
      <w:tr>
        <w:trPr/>
        <w:tc>
          <w:tcPr>
            <w:tcW w:w="251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Six Months Ended June 30,</w:t>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2025</w:t>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Reconciliation of cash, cash equivalents, and restricted cash</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691,418 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732,722 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260,553 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7"/>
              </w:rPr>
            </w:pPr>
            <w:r>
              <w:rPr>
                <w:rFonts w:ascii="Open Sans;sans-serif" w:hAnsi="Open Sans;sans-serif"/>
                <w:b w:val="false"/>
                <w:color w:val="000000"/>
                <w:sz w:val="17"/>
              </w:rPr>
              <w:t>Restricted cash, included in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Total cash, cash equivalents, and restricted cash</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954,066 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741,223 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7"/>
              </w:rPr>
            </w:pPr>
            <w:r>
              <w:rPr>
                <w:rFonts w:ascii="Open Sans;sans-serif" w:hAnsi="Open Sans;sans-serif"/>
                <w:b/>
                <w:color w:val="000000"/>
                <w:sz w:val="17"/>
              </w:rPr>
              <w:t>Supplemental disclosures of non-cash investing and financing activities: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Share-based compensation capitalized to internal-use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4,994 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5,709 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Holdback consideration, not yet paid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2,240 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Repurchase of common stock, including excise tax, accrued and not yet paid</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875 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2,988 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Purchase of property and equipment accrued and not yet paid</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206 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7"/>
              </w:rPr>
            </w:pPr>
            <w:r>
              <w:rPr>
                <w:rFonts w:ascii="Open Sans;sans-serif" w:hAnsi="Open Sans;sans-serif"/>
                <w:b w:val="false"/>
                <w:color w:val="000000"/>
                <w:sz w:val="17"/>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7"/>
              </w:rPr>
            </w:pPr>
            <w:r>
              <w:rPr>
                <w:rFonts w:ascii="Open Sans;sans-serif" w:hAnsi="Open Sans;sans-serif"/>
                <w:b w:val="false"/>
                <w:color w:val="000000"/>
                <w:sz w:val="17"/>
              </w:rPr>
              <w:t>1,167 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Open Sans;sans-serif" w:hAnsi="Open Sans;sans-serif"/>
          <w:b w:val="false"/>
          <w:color w:val="000000"/>
          <w:sz w:val="18"/>
        </w:rPr>
      </w:pPr>
      <w:r>
        <w:rPr>
          <w:rFonts w:ascii="Open Sans;sans-serif" w:hAnsi="Open Sans;sans-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2425"/>
                <wp:effectExtent l="0" t="0" r="0" b="0"/>
                <wp:wrapNone/>
                <wp:docPr id="10" name="Frame1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Marqeta, Inc.</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Notes to Condensed Consolidated Financial Statements</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(Tabular Amounts in Thousands, Except Per Share Amounts, Ratios, or as Noted)</w:t>
      </w:r>
    </w:p>
    <w:p>
      <w:pPr>
        <w:pStyle w:val="TextBody"/>
        <w:bidi w:val="0"/>
        <w:spacing w:lineRule="auto" w:line="288" w:before="0" w:after="0"/>
        <w:jc w:val="center"/>
        <w:rPr>
          <w:rFonts w:ascii="Open Sans;sans-serif" w:hAnsi="Open Sans;sans-serif"/>
          <w:b/>
          <w:color w:val="000000"/>
          <w:sz w:val="16"/>
        </w:rPr>
      </w:pPr>
      <w:r>
        <w:rPr>
          <w:rFonts w:ascii="Open Sans;sans-serif" w:hAnsi="Open Sans;sans-serif"/>
          <w:b/>
          <w:color w:val="000000"/>
          <w:sz w:val="16"/>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Open Sans;sans-serif" w:hAnsi="Open Sans;sans-serif"/>
          <w:b/>
          <w:color w:val="000000"/>
          <w:sz w:val="20"/>
        </w:rPr>
      </w:pPr>
      <w:r>
        <w:rPr>
          <w:rFonts w:ascii="Open Sans;sans-serif" w:hAnsi="Open Sans;sans-serif"/>
          <w:b/>
          <w:color w:val="000000"/>
          <w:sz w:val="20"/>
        </w:rPr>
        <w:t>1.    Business Overview and Basis of Presentation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Marqeta, Inc. (“the Company”) was incorporated in the state of Delaware in 2010 and creates digital payment technology for innovation leaders. The Company's modern card issuing platform empowers its customers to create customized and innovative payment card programs, giving them the configurability and flexibility to build better payment experiences.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provides all of its customers issuer processor services and for most of its customers it also acts as a card program manager. The Company primarily earns revenue from processing card transactions for its customers.</w:t>
      </w:r>
    </w:p>
    <w:p>
      <w:pPr>
        <w:pStyle w:val="TextBody"/>
        <w:bidi w:val="0"/>
        <w:spacing w:lineRule="auto" w:line="288" w:before="180" w:after="283"/>
        <w:jc w:val="both"/>
        <w:rPr>
          <w:rFonts w:ascii="Open Sans;sans-serif" w:hAnsi="Open Sans;sans-serif"/>
          <w:b/>
          <w:i/>
          <w:color w:val="000000"/>
          <w:sz w:val="20"/>
        </w:rPr>
      </w:pPr>
      <w:r>
        <w:rPr>
          <w:rFonts w:ascii="Open Sans;sans-serif" w:hAnsi="Open Sans;sans-serif"/>
          <w:b/>
          <w:i/>
          <w:color w:val="000000"/>
          <w:sz w:val="20"/>
        </w:rPr>
        <w:t>Basis of Presentation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accompanying Condensed Consolidated Financial Statements have been prepared in accordance with generally accepted accounting principles in the United States of America (“GAAP”) and the applicable rules and regulations of the Securities and Exchange Commission, (“SEC”), for interim reporting. Certain information and note disclosures included in the Company’s annual financial statements prepared in accordance with GAAP have been condensed or omitted pursuant to such rules and regulations. The Condensed Consolidated Balance Sheet as of December 31, 2025 has been derived from the Company’s audited consolidated financial statements, which are included in the Company’s Annual Report on Form 10-K for the fiscal year ended December 31, 2025, which was filed with the SEC on February 24, 2026. The accompanying Condensed Consolidated Financial Statements should be read in conjunction with the Company’s consolidated financial statements and notes thereto included in the Annual Report on Form 10-K.</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accompanying Condensed Consolidated Financial Statements include the accounts of the Company and its wholly-owned subsidiaries. All intercompany balances and transactions have been eliminated in consolidation. In the opinion of management, the accompanying Condensed Consolidated Financial Statements reflect all adjustments of a normal, recurring nature considered necessary for a fair presentation of the Company's consolidated financial position, results of operations, comprehensive income (loss), and cash flows for the interim periods presented. The interim results for the three and six months ended June 30, 2026 are not necessarily indicative of the results that may be expected for the year ending December 31, 2026, or for any other future annual or interim period.</w:t>
      </w:r>
    </w:p>
    <w:p>
      <w:pPr>
        <w:pStyle w:val="TextBody"/>
        <w:bidi w:val="0"/>
        <w:spacing w:lineRule="auto" w:line="288" w:before="180" w:after="283"/>
        <w:jc w:val="both"/>
        <w:rPr>
          <w:rFonts w:ascii="Open Sans;sans-serif" w:hAnsi="Open Sans;sans-serif"/>
          <w:b/>
          <w:i/>
          <w:color w:val="000000"/>
          <w:sz w:val="20"/>
        </w:rPr>
      </w:pPr>
      <w:r>
        <w:rPr>
          <w:rFonts w:ascii="Open Sans;sans-serif" w:hAnsi="Open Sans;sans-serif"/>
          <w:b/>
          <w:i/>
          <w:color w:val="000000"/>
          <w:sz w:val="20"/>
        </w:rPr>
        <w:t xml:space="preserve">Reverse Stock Split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On June 30, 2026, following approval by the Company’s stockholders at the 2026 Annual Meeting of Stockholders on June 10, 2026, the Company effected a one-for-four reverse stock split of its issued and outstanding shares of Class A common stock and Class B common stock, together with a proportional reduction in the number of authorized shares of Class A, Class B, and preferred stock (the “Reverse Stock Split”). The Reverse Stock Split was effected by filing a Certificate of Amendment to the Company’s Amended and Restated Certificate of Incorporation. As a result of the Reverse Stock Split, every four shares of the Company’s Class A common stock or Class B common stock were automatically combined and converted into one share of the respective class of stock. The Reverse Stock Split did not change the par value per share of the Company’s common or preferred stock, nor did it alter the relative rights, preferences, or privileges of the holders of such stock. As a result, the aggregate par value of outstanding common stock was reduced proportionately, with a corresponding increase to additional paid-in capital. Total stockholders’ equity remained unchanged. No fractional shares were issued in connection with the Reverse Stock Split, and stockholders who otherwise would have been entitled to a fractional share received cash in lieu thereof.</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All share-related and per share information presented in the accompanying condensed consolidated financial statements and notes thereto has been retroactively adjusted to reflect the Reverse Stock Split for all periods presented, as if the split had occurred at the beginning of the earliest period presented.</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2425"/>
                <wp:effectExtent l="0" t="0" r="0" b="0"/>
                <wp:wrapNone/>
                <wp:docPr id="11" name="Frame1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Open Sans;sans-serif" w:hAnsi="Open Sans;sans-serif"/>
          <w:b/>
          <w:i/>
          <w:color w:val="000000"/>
          <w:sz w:val="20"/>
        </w:rPr>
      </w:pPr>
      <w:r>
        <w:rPr>
          <w:rFonts w:ascii="Open Sans;sans-serif" w:hAnsi="Open Sans;sans-serif"/>
          <w:b/>
          <w:i/>
          <w:color w:val="000000"/>
          <w:sz w:val="20"/>
        </w:rPr>
        <w:t>Use of Estimates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preparation of the financial statements in conformity with GAAP requires management to make various estimates and assumptions relating to reported amounts of assets and liabilities, disclosure of contingent liabilities, and reported amounts of revenue and expenses. Significant estimates and assumptions include, but are not limited to, the fair value and useful lives of assets acquired and liabilities assumed through business combinations, the estimation of contingent liabilities, the fair value of equity awards and warrants, share-based compensation, the estimation of variable consideration in contracts with customers, the cumulative network incentive rate the Company expects to earn during the annual measurement period, and valuation of income taxes. Actual results could differ materially from these estimates.</w:t>
      </w:r>
    </w:p>
    <w:p>
      <w:pPr>
        <w:pStyle w:val="TextBody"/>
        <w:bidi w:val="0"/>
        <w:spacing w:lineRule="auto" w:line="288" w:before="180" w:after="283"/>
        <w:jc w:val="both"/>
        <w:rPr>
          <w:rFonts w:ascii="Open Sans;sans-serif" w:hAnsi="Open Sans;sans-serif"/>
          <w:b/>
          <w:i/>
          <w:color w:val="000000"/>
          <w:sz w:val="20"/>
        </w:rPr>
      </w:pPr>
      <w:r>
        <w:rPr>
          <w:rFonts w:ascii="Open Sans;sans-serif" w:hAnsi="Open Sans;sans-serif"/>
          <w:b/>
          <w:i/>
          <w:color w:val="000000"/>
          <w:sz w:val="20"/>
        </w:rPr>
        <w:t>Business Risks and Uncertainties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Prior to the quarter ended March 31, 2026, the Company incurred net losses in each quarter since its inception, with the exception of the quarter ended June 30, 2024, which was primarily due to the forfeiture of the Executive Chairman Long-Term Incentive Award. As of June 30, 2026, the Company had an accumulated deficit of $796.4 million. The Company believes that its cash and cash equivalents of $691.4 million and short-term investments of $9.5 million as of June 30, 2026 are sufficient to fund its operations through at least the next twelve months from the issuance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pPr>
      <w:r>
        <w:rPr>
          <w:rFonts w:ascii="Open Sans;sans-serif" w:hAnsi="Open Sans;sans-serif"/>
          <w:b/>
          <w:color w:val="000000"/>
          <w:sz w:val="20"/>
        </w:rPr>
        <w:t>2.</w:t>
      </w:r>
      <w:r>
        <w:rPr>
          <w:color w:val="000000"/>
        </w:rPr>
        <w:t>    </w:t>
      </w:r>
      <w:r>
        <w:rPr>
          <w:rFonts w:ascii="Open Sans;sans-serif" w:hAnsi="Open Sans;sans-serif"/>
          <w:b/>
          <w:color w:val="000000"/>
          <w:sz w:val="20"/>
        </w:rPr>
        <w:t>Summary of Significant Accounting Policies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Significant Accounting Policies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There have been no material changes to the Company’s significant accounting policies from the Annual Report on Form 10-K for the fiscal year ended December 31, 2025.</w:t>
      </w:r>
    </w:p>
    <w:p>
      <w:pPr>
        <w:pStyle w:val="TextBody"/>
        <w:bidi w:val="0"/>
        <w:spacing w:lineRule="auto" w:line="288" w:before="180" w:after="283"/>
        <w:jc w:val="both"/>
        <w:rPr>
          <w:rFonts w:ascii="Open Sans;sans-serif" w:hAnsi="Open Sans;sans-serif"/>
          <w:b/>
          <w:i/>
          <w:color w:val="000000"/>
          <w:sz w:val="20"/>
        </w:rPr>
      </w:pPr>
      <w:r>
        <w:rPr>
          <w:rFonts w:ascii="Open Sans;sans-serif" w:hAnsi="Open Sans;sans-serif"/>
          <w:b/>
          <w:i/>
          <w:color w:val="000000"/>
          <w:sz w:val="20"/>
        </w:rPr>
        <w:t>Recent Accounting Pronouncements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November 2024, the FASB issued Accounting Standards Update No. 2024-03, “Income Statement—Reporting Comprehensive Income—Expense Disaggregation Disclosures” (“ASU 2024-03”). ASU 2024-03 is intended to improve disclosures about a public business entity's expenses and provide more detailed information to investors about the types of expenses in commonly presented expense captions. The amendments in this ASU are effective for fiscal years beginning after December 15, 2026, and interim periods within those fiscal years. The Company plans to adopt this pronouncement and make the necessary updates to its disclosures for the year ending December 31, 2027. While the Company is currently evaluating the operational and financial reporting implications of this standard, the Company does not currently expect the adoption of ASU 2024-03 to have a material impact on its financial statements or disclosures.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September 2025, the FASB issued Accounting Standards Update No. 2025-06, “Intangibles - Goodwill and Other - Internal-Use Software (Subtopic 350-40): Targeted Improvements to the Accounting for Internal-Use Software” ("ASU 2025-06"). ASU 2025-06 modernizes the accounting for internal-use software costs by increasing the operability of the recognition guidance considering different methods of software development. ASU 2025-06 can be applied prospectively, retrospectively, or with a modified transition approach, and is effective for the Company for annual reporting as well as interim period reporting beginning in fiscal year 2028 with early adoption permitted. The Company is currently evaluating the impact of adopting ASU 2025-06 on its condensed consolidated financial statements and related disclosures. The ASU changes the timing of when certain costs begin to be capitalized for internal-use software projects, while retaining the criteria for what costs be capitalized and when capitalization ceases. The Company is currently evaluating the impact that the adoption of this standard will have on its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2425"/>
                <wp:effectExtent l="0" t="0" r="0" b="0"/>
                <wp:wrapNone/>
                <wp:docPr id="12" name="Frame1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lineRule="auto" w:line="288" w:before="420" w:after="283"/>
        <w:jc w:val="both"/>
        <w:rPr>
          <w:rFonts w:ascii="Open Sans;sans-serif" w:hAnsi="Open Sans;sans-serif"/>
          <w:b/>
          <w:color w:val="000000"/>
          <w:sz w:val="20"/>
        </w:rPr>
      </w:pPr>
      <w:r>
        <w:rPr>
          <w:rFonts w:ascii="Open Sans;sans-serif" w:hAnsi="Open Sans;sans-serif"/>
          <w:b/>
          <w:color w:val="000000"/>
          <w:sz w:val="20"/>
        </w:rPr>
        <w:t>3.    Revenue</w:t>
      </w:r>
    </w:p>
    <w:p>
      <w:pPr>
        <w:pStyle w:val="TextBody"/>
        <w:bidi w:val="0"/>
        <w:spacing w:lineRule="auto" w:line="288" w:before="180" w:after="283"/>
        <w:jc w:val="both"/>
        <w:rPr>
          <w:rFonts w:ascii="Open Sans;sans-serif" w:hAnsi="Open Sans;sans-serif"/>
          <w:b/>
          <w:i/>
          <w:color w:val="000000"/>
          <w:sz w:val="20"/>
        </w:rPr>
      </w:pPr>
      <w:r>
        <w:rPr>
          <w:rFonts w:ascii="Open Sans;sans-serif" w:hAnsi="Open Sans;sans-serif"/>
          <w:b/>
          <w:i/>
          <w:color w:val="000000"/>
          <w:sz w:val="20"/>
        </w:rPr>
        <w:t>Disaggregation of Revenue</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The following table provides information about disaggregated revenue from customers:</w:t>
      </w:r>
    </w:p>
    <w:tbl>
      <w:tblPr>
        <w:tblW w:w="9269" w:type="dxa"/>
        <w:jc w:val="left"/>
        <w:tblInd w:w="0" w:type="dxa"/>
        <w:tblLayout w:type="fixed"/>
        <w:tblCellMar>
          <w:top w:w="28" w:type="dxa"/>
          <w:left w:w="28" w:type="dxa"/>
          <w:bottom w:w="28" w:type="dxa"/>
          <w:right w:w="28" w:type="dxa"/>
        </w:tblCellMar>
      </w:tblPr>
      <w:tblGrid>
        <w:gridCol w:w="1128"/>
        <w:gridCol w:w="994"/>
        <w:gridCol w:w="997"/>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4"/>
      </w:tblGrid>
      <w:tr>
        <w:trPr/>
        <w:tc>
          <w:tcPr>
            <w:tcW w:w="112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Platform services revenue, net</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163,682 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143,135 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319,907 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275,004 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services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net revenue</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175,995 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150,392 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341,793 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289,465 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Contract Balances</w:t>
      </w:r>
    </w:p>
    <w:p>
      <w:pPr>
        <w:pStyle w:val="TextBody"/>
        <w:bidi w:val="0"/>
        <w:spacing w:lineRule="auto" w:line="288" w:before="120" w:after="120"/>
        <w:jc w:val="left"/>
        <w:rPr>
          <w:rFonts w:ascii="Open Sans;sans-serif" w:hAnsi="Open Sans;sans-serif"/>
          <w:b w:val="false"/>
          <w:color w:val="000000"/>
          <w:sz w:val="20"/>
        </w:rPr>
      </w:pPr>
      <w:r>
        <w:rPr>
          <w:rFonts w:ascii="Open Sans;sans-serif" w:hAnsi="Open Sans;sans-serif"/>
          <w:b w:val="false"/>
          <w:color w:val="000000"/>
          <w:sz w:val="20"/>
        </w:rPr>
        <w:t>The following table provides information about contract assets and deferred revenue:</w:t>
      </w:r>
    </w:p>
    <w:tbl>
      <w:tblPr>
        <w:tblW w:w="10205" w:type="dxa"/>
        <w:jc w:val="left"/>
        <w:tblInd w:w="0" w:type="dxa"/>
        <w:tblLayout w:type="fixed"/>
        <w:tblCellMar>
          <w:top w:w="28" w:type="dxa"/>
          <w:left w:w="28" w:type="dxa"/>
          <w:bottom w:w="28" w:type="dxa"/>
          <w:right w:w="28" w:type="dxa"/>
        </w:tblCellMar>
      </w:tblPr>
      <w:tblGrid>
        <w:gridCol w:w="1074"/>
        <w:gridCol w:w="860"/>
        <w:gridCol w:w="867"/>
        <w:gridCol w:w="109"/>
        <w:gridCol w:w="109"/>
        <w:gridCol w:w="109"/>
        <w:gridCol w:w="1299"/>
        <w:gridCol w:w="1287"/>
        <w:gridCol w:w="1291"/>
        <w:gridCol w:w="109"/>
        <w:gridCol w:w="109"/>
        <w:gridCol w:w="109"/>
        <w:gridCol w:w="226"/>
        <w:gridCol w:w="826"/>
        <w:gridCol w:w="109"/>
        <w:gridCol w:w="109"/>
        <w:gridCol w:w="109"/>
        <w:gridCol w:w="109"/>
        <w:gridCol w:w="258"/>
        <w:gridCol w:w="946"/>
        <w:gridCol w:w="181"/>
      </w:tblGrid>
      <w:tr>
        <w:trPr/>
        <w:tc>
          <w:tcPr>
            <w:tcW w:w="107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Contract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Balance sheet line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2025</w:t>
            </w:r>
          </w:p>
        </w:tc>
      </w:tr>
      <w:tr>
        <w:trPr/>
        <w:tc>
          <w:tcPr>
            <w:tcW w:w="28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Contract assets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4,021 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Contract assets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6,688 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10,709 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Deferred revenue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9,398 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11,762 </w:t>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Deferred revenue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2,640 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12,613 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14,402 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Net revenue recognized during the three months ended June 30, 2026 and 2025 that was included in the deferred revenue balances at the beginning of the respective periods was $4.0 million and $4.5 million, respectively. Net revenue recognized during the six months ended June 30, 2026 and 2025 that was included in the deferred revenue balances at the beginning of the respective periods was $6.7 million and $8.5 million, respectively.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Remaining Performance Obligations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has performance obligations associated with commitments in customer contracts for future stand-ready obligations to process transactions throughout the contractual term. As of June 30, 2026, the aggregate transaction price allocated to our remaining performance obligations was $41.0 million. The Company expects to recognize approximately 74% within two years and the remaining 26% over the next three to five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4.    Business Combinations</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TransactPay</w:t>
      </w:r>
    </w:p>
    <w:p>
      <w:pPr>
        <w:pStyle w:val="TextBody"/>
        <w:bidi w:val="0"/>
        <w:spacing w:lineRule="auto" w:line="288" w:before="120" w:after="283"/>
        <w:jc w:val="both"/>
        <w:rPr/>
      </w:pPr>
      <w:r>
        <w:rPr>
          <w:rFonts w:ascii="Open Sans;sans-serif" w:hAnsi="Open Sans;sans-serif"/>
          <w:b w:val="false"/>
          <w:color w:val="000000"/>
          <w:sz w:val="20"/>
        </w:rPr>
        <w:t xml:space="preserve">The Company completed its acquisition of TransactPay on July 31, 2025. Refer to Note 4, “Business Combinations,” to the </w:t>
      </w:r>
      <w:r>
        <w:fldChar w:fldCharType="begin"/>
      </w:r>
      <w:r>
        <w:rPr>
          <w:rStyle w:val="InternetLink"/>
          <w:sz w:val="20"/>
          <w:u w:val="single"/>
          <w:b w:val="false"/>
          <w:rFonts w:ascii="Open Sans;sans-serif" w:hAnsi="Open Sans;sans-serif"/>
          <w:color w:val="0000FF"/>
        </w:rPr>
        <w:instrText xml:space="preserve"> HYPERLINK "https://www.sec.gov/ix?doc=/Archives/edgar/data/0001522540/000152254026000017/mq-20251231.htm" \l "fact-identifier-684"</w:instrText>
      </w:r>
      <w:r>
        <w:rPr>
          <w:rStyle w:val="InternetLink"/>
          <w:sz w:val="20"/>
          <w:u w:val="single"/>
          <w:b w:val="false"/>
          <w:rFonts w:ascii="Open Sans;sans-serif" w:hAnsi="Open Sans;sans-serif"/>
          <w:color w:val="0000FF"/>
        </w:rPr>
        <w:fldChar w:fldCharType="separate"/>
      </w:r>
      <w:r>
        <w:rPr>
          <w:rStyle w:val="InternetLink"/>
          <w:rFonts w:ascii="Open Sans;sans-serif" w:hAnsi="Open Sans;sans-serif"/>
          <w:b w:val="false"/>
          <w:color w:val="0000FF"/>
          <w:sz w:val="20"/>
          <w:u w:val="single"/>
        </w:rPr>
        <w:t>consolidated financial statements included in the Company’s Annual Report on Form 10-K</w:t>
      </w:r>
      <w:r>
        <w:rPr>
          <w:rStyle w:val="InternetLink"/>
          <w:sz w:val="20"/>
          <w:u w:val="single"/>
          <w:b w:val="false"/>
          <w:rFonts w:ascii="Open Sans;sans-serif" w:hAnsi="Open Sans;sans-serif"/>
          <w:color w:val="0000FF"/>
        </w:rPr>
        <w:fldChar w:fldCharType="end"/>
      </w:r>
      <w:r>
        <w:rPr>
          <w:color w:val="000000"/>
        </w:rPr>
        <w:t xml:space="preserve"> </w:t>
      </w:r>
      <w:r>
        <w:rPr>
          <w:rFonts w:ascii="Open Sans;sans-serif" w:hAnsi="Open Sans;sans-serif"/>
          <w:b w:val="false"/>
          <w:color w:val="000000"/>
          <w:sz w:val="20"/>
        </w:rPr>
        <w:t xml:space="preserve">for the year ended December 31, 2025 for additional information regarding this acquisition. There have been no changes to the purchase price or the allocation of purchase price since December 31, 2025. The measurement period for the acquisition remains open as of June 30, 2026. No measurement period adjustments were recognized during the three and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2425"/>
                <wp:effectExtent l="0" t="0" r="0" b="0"/>
                <wp:wrapNone/>
                <wp:docPr id="13" name="Frame1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Contingent Consideration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previously disclosed in the Company’s Annual Report on Form 10-K for the year ended December 31, 2025, the acquisition of TransactPay included two earn-out arrangements (the “Regulatory Improvement Earn-out” of $2.3 million and the “Digital Products Earn-out” of up to $3.4 million) payable upon satisfaction of specified post-closing performance conditions. The digital products relate to an emerging line of business that was not part of TransactPay’s core operations at the time of acquisition. The accruals for both earn-outs were included as part of accrued expenses and other current liabilities in the Condensed Consolidated Balance Sheet as of December 31, 2025. </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 xml:space="preserve">As of December 31, 2025, the Company had accrued approximately $2.3 million for the Regulatory Improvement Earn-out and approximately $1.3 million for the Digital Products Earn-out, reflecting management’s best estimate of the amounts expected to be paid based on the facts and circumstances available at that time. </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During the three months ended March 31, 2026, the Company remeasured the Digital Products Earn-out liability based on updated gross profit information, reducing the accrual by $0.9 million. This reduction was recognized as a gain in Other income, net in the Condensed Consolidated Statement of Operations and Comprehensive Income (Loss) for the six months ended June 30, 2026.</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 xml:space="preserve">In April 2026, the Company settled both earn-out arrangements for an aggregate payment of approximately $2.7 million, consisting of $2.3 million for the Regulatory Improvement Earn-out and $0.4 million for the Digital Products Earn-out. As a result, no contingent consideration liability was outstanding as of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both"/>
        <w:rPr>
          <w:rFonts w:ascii="Open Sans;sans-serif" w:hAnsi="Open Sans;sans-serif"/>
          <w:b/>
          <w:color w:val="000000"/>
          <w:sz w:val="20"/>
        </w:rPr>
      </w:pPr>
      <w:r>
        <w:rPr>
          <w:rFonts w:ascii="Open Sans;sans-serif" w:hAnsi="Open Sans;sans-serif"/>
          <w:b/>
          <w:color w:val="000000"/>
          <w:sz w:val="20"/>
        </w:rPr>
        <w:t xml:space="preserve">5.    Goodwill and Intangible Assets, net </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Goodwill</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Goodwill consisted of the following:</w:t>
      </w:r>
    </w:p>
    <w:tbl>
      <w:tblPr>
        <w:tblW w:w="4730" w:type="dxa"/>
        <w:jc w:val="left"/>
        <w:tblInd w:w="0" w:type="dxa"/>
        <w:tblLayout w:type="fixed"/>
        <w:tblCellMar>
          <w:top w:w="28" w:type="dxa"/>
          <w:left w:w="28" w:type="dxa"/>
          <w:bottom w:w="28" w:type="dxa"/>
          <w:right w:w="28" w:type="dxa"/>
        </w:tblCellMar>
      </w:tblPr>
      <w:tblGrid>
        <w:gridCol w:w="1234"/>
        <w:gridCol w:w="1082"/>
        <w:gridCol w:w="1088"/>
        <w:gridCol w:w="226"/>
        <w:gridCol w:w="946"/>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December 31, 2025</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154,706 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Foreign currency adjustment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June 30, 2026</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153,760 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2425"/>
                <wp:effectExtent l="0" t="0" r="0" b="0"/>
                <wp:wrapNone/>
                <wp:docPr id="14" name="Frame1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120"/>
        <w:jc w:val="both"/>
        <w:rPr>
          <w:rFonts w:ascii="Open Sans;sans-serif" w:hAnsi="Open Sans;sans-serif"/>
          <w:b/>
          <w:i/>
          <w:color w:val="000000"/>
          <w:sz w:val="20"/>
        </w:rPr>
      </w:pPr>
      <w:r>
        <w:rPr>
          <w:rFonts w:ascii="Open Sans;sans-serif" w:hAnsi="Open Sans;sans-serif"/>
          <w:b/>
          <w:i/>
          <w:color w:val="000000"/>
          <w:sz w:val="20"/>
        </w:rPr>
        <w:t>Intangible Assets, net</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The following table presents the Intangible assets resulting from the Company’s business combinations as of the dates presented:</w:t>
      </w:r>
    </w:p>
    <w:tbl>
      <w:tblPr>
        <w:tblW w:w="7904" w:type="dxa"/>
        <w:jc w:val="left"/>
        <w:tblInd w:w="0" w:type="dxa"/>
        <w:tblLayout w:type="fixed"/>
        <w:tblCellMar>
          <w:top w:w="28" w:type="dxa"/>
          <w:left w:w="28" w:type="dxa"/>
          <w:bottom w:w="28" w:type="dxa"/>
          <w:right w:w="28" w:type="dxa"/>
        </w:tblCellMar>
      </w:tblPr>
      <w:tblGrid>
        <w:gridCol w:w="1482"/>
        <w:gridCol w:w="1305"/>
        <w:gridCol w:w="1308"/>
        <w:gridCol w:w="274"/>
        <w:gridCol w:w="1003"/>
        <w:gridCol w:w="132"/>
        <w:gridCol w:w="109"/>
        <w:gridCol w:w="109"/>
        <w:gridCol w:w="109"/>
        <w:gridCol w:w="373"/>
        <w:gridCol w:w="1366"/>
        <w:gridCol w:w="180"/>
        <w:gridCol w:w="154"/>
      </w:tblGrid>
      <w:tr>
        <w:trPr/>
        <w:tc>
          <w:tcPr>
            <w:tcW w:w="148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Finite-lived intangible assets:</w:t>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Developed technology</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Customer relationships</w:t>
            </w:r>
            <w:r>
              <w:rPr>
                <w:color w:val="000000"/>
              </w:rPr>
              <w:t xml:space="preserve"> </w:t>
            </w:r>
            <w:r>
              <w:rPr>
                <w:rFonts w:ascii="Open Sans;sans-serif" w:hAnsi="Open Sans;sans-serif"/>
                <w:b w:val="false"/>
                <w:color w:val="000000"/>
                <w:sz w:val="13"/>
              </w:rPr>
              <w:t>(1)</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7,059 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Total finite-lived intangible assets, gross</w:t>
            </w:r>
          </w:p>
        </w:tc>
        <w:tc>
          <w:tcPr>
            <w:tcW w:w="12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47,845 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48,059 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Accumulated amortization</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(23,149)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(18,554)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Total finite-lived Intangible assets, net</w:t>
            </w:r>
          </w:p>
        </w:tc>
        <w:tc>
          <w:tcPr>
            <w:tcW w:w="12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24,696 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29,505 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Indefinite-lived intangible assets:</w:t>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 xml:space="preserve">EMI licenses </w:t>
            </w:r>
            <w:r>
              <w:rPr>
                <w:rFonts w:ascii="Open Sans;sans-serif" w:hAnsi="Open Sans;sans-serif"/>
                <w:b w:val="false"/>
                <w:color w:val="000000"/>
                <w:sz w:val="13"/>
              </w:rPr>
              <w:t>(1)</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21,219 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21,883 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Total intangible assets, net</w:t>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45,915 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51,388 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18"/>
        </w:rPr>
      </w:pPr>
      <w:r>
        <w:rPr>
          <w:rFonts w:ascii="Open Sans;sans-serif" w:hAnsi="Open Sans;sans-serif"/>
          <w:b w:val="false"/>
          <w:color w:val="000000"/>
          <w:sz w:val="18"/>
        </w:rPr>
        <w:t xml:space="preserve">(1) The customer relationships and EMI licenses acquired in the TransactPay acquisition are denominated in Euros. The changes in the carrying amounts reported for these assets since the acquisition date as of June 30, 2026 and December 31, 2025 are attributable to fluctuations in foreign currency exchange rates. </w:t>
      </w:r>
    </w:p>
    <w:p>
      <w:pPr>
        <w:pStyle w:val="TextBody"/>
        <w:bidi w:val="0"/>
        <w:spacing w:lineRule="auto" w:line="288" w:before="180" w:after="283"/>
        <w:jc w:val="both"/>
        <w:rPr/>
      </w:pPr>
      <w:r>
        <w:rPr>
          <w:rFonts w:ascii="Open Sans;sans-serif" w:hAnsi="Open Sans;sans-serif"/>
          <w:b w:val="false"/>
          <w:color w:val="000000"/>
          <w:sz w:val="20"/>
        </w:rPr>
        <w:t>The amortization period for developed technology and customer relationships intangible assets is 7 years and 2 years, respectively. Amortization expense for intangible assets was $2.3 million</w:t>
      </w:r>
      <w:r>
        <w:rPr>
          <w:color w:val="000000"/>
        </w:rPr>
        <w:t xml:space="preserve"> </w:t>
      </w:r>
      <w:r>
        <w:rPr>
          <w:rFonts w:ascii="Open Sans;sans-serif" w:hAnsi="Open Sans;sans-serif"/>
          <w:b w:val="false"/>
          <w:color w:val="000000"/>
          <w:sz w:val="20"/>
        </w:rPr>
        <w:t>and $1.5 million</w:t>
      </w:r>
      <w:r>
        <w:rPr>
          <w:color w:val="000000"/>
        </w:rPr>
        <w:t xml:space="preserve"> </w:t>
      </w:r>
      <w:r>
        <w:rPr>
          <w:rFonts w:ascii="Open Sans;sans-serif" w:hAnsi="Open Sans;sans-serif"/>
          <w:b w:val="false"/>
          <w:color w:val="000000"/>
          <w:sz w:val="20"/>
        </w:rPr>
        <w:t>for the three months ended June 30, 2026 and 2025, respectively. Amortization expense for intangible assets was $4.7 million</w:t>
      </w:r>
      <w:r>
        <w:rPr>
          <w:color w:val="000000"/>
        </w:rPr>
        <w:t xml:space="preserve"> </w:t>
      </w:r>
      <w:r>
        <w:rPr>
          <w:rFonts w:ascii="Open Sans;sans-serif" w:hAnsi="Open Sans;sans-serif"/>
          <w:b w:val="false"/>
          <w:color w:val="000000"/>
          <w:sz w:val="20"/>
        </w:rPr>
        <w:t>and $2.9 million</w:t>
      </w:r>
      <w:r>
        <w:rPr>
          <w:color w:val="000000"/>
        </w:rPr>
        <w:t xml:space="preserve"> </w:t>
      </w:r>
      <w:r>
        <w:rPr>
          <w:rFonts w:ascii="Open Sans;sans-serif" w:hAnsi="Open Sans;sans-serif"/>
          <w:b w:val="false"/>
          <w:color w:val="000000"/>
          <w:sz w:val="20"/>
        </w:rPr>
        <w:t>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both"/>
        <w:rPr/>
      </w:pPr>
      <w:r>
        <w:rPr>
          <w:rFonts w:ascii="Open Sans;sans-serif" w:hAnsi="Open Sans;sans-serif"/>
          <w:b/>
          <w:color w:val="000000"/>
          <w:sz w:val="20"/>
        </w:rPr>
        <w:t>6.</w:t>
      </w:r>
      <w:r>
        <w:rPr>
          <w:color w:val="000000"/>
        </w:rPr>
        <w:t>    </w:t>
      </w:r>
      <w:r>
        <w:rPr>
          <w:rFonts w:ascii="Open Sans;sans-serif" w:hAnsi="Open Sans;sans-serif"/>
          <w:b/>
          <w:color w:val="000000"/>
          <w:sz w:val="20"/>
        </w:rPr>
        <w:t>Short-term Investments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The amortized cost, unrealized gain, and estimated fair value of the Company's short-term investments consisted of the following:</w:t>
      </w:r>
    </w:p>
    <w:tbl>
      <w:tblPr>
        <w:tblW w:w="9030" w:type="dxa"/>
        <w:jc w:val="left"/>
        <w:tblInd w:w="0" w:type="dxa"/>
        <w:tblLayout w:type="fixed"/>
        <w:tblCellMar>
          <w:top w:w="28" w:type="dxa"/>
          <w:left w:w="28" w:type="dxa"/>
          <w:bottom w:w="28" w:type="dxa"/>
          <w:right w:w="28" w:type="dxa"/>
        </w:tblCellMar>
      </w:tblPr>
      <w:tblGrid>
        <w:gridCol w:w="1081"/>
        <w:gridCol w:w="950"/>
        <w:gridCol w:w="953"/>
        <w:gridCol w:w="332"/>
        <w:gridCol w:w="1037"/>
        <w:gridCol w:w="161"/>
        <w:gridCol w:w="109"/>
        <w:gridCol w:w="109"/>
        <w:gridCol w:w="109"/>
        <w:gridCol w:w="567"/>
        <w:gridCol w:w="717"/>
        <w:gridCol w:w="275"/>
        <w:gridCol w:w="109"/>
        <w:gridCol w:w="109"/>
        <w:gridCol w:w="109"/>
        <w:gridCol w:w="109"/>
        <w:gridCol w:w="109"/>
        <w:gridCol w:w="434"/>
        <w:gridCol w:w="1356"/>
        <w:gridCol w:w="295"/>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2"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 2026</w:t>
            </w:r>
          </w:p>
        </w:tc>
        <w:tc>
          <w:tcPr>
            <w:tcW w:w="2194" w:type="dxa"/>
            <w:gridSpan w:val="4"/>
            <w:tcBorders/>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Estimated Fair Value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Short-term Investments</w:t>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securities</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8,002 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Asset-backed securities</w:t>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1,476 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5"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short-term investments</w:t>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9,472 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6 </w:t>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9,478 </w:t>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31" w:type="dxa"/>
        <w:jc w:val="left"/>
        <w:tblInd w:w="0" w:type="dxa"/>
        <w:tblLayout w:type="fixed"/>
        <w:tblCellMar>
          <w:top w:w="28" w:type="dxa"/>
          <w:left w:w="28" w:type="dxa"/>
          <w:bottom w:w="28" w:type="dxa"/>
          <w:right w:w="28" w:type="dxa"/>
        </w:tblCellMar>
      </w:tblPr>
      <w:tblGrid>
        <w:gridCol w:w="1082"/>
        <w:gridCol w:w="949"/>
        <w:gridCol w:w="954"/>
        <w:gridCol w:w="298"/>
        <w:gridCol w:w="1089"/>
        <w:gridCol w:w="143"/>
        <w:gridCol w:w="109"/>
        <w:gridCol w:w="109"/>
        <w:gridCol w:w="109"/>
        <w:gridCol w:w="408"/>
        <w:gridCol w:w="953"/>
        <w:gridCol w:w="199"/>
        <w:gridCol w:w="109"/>
        <w:gridCol w:w="109"/>
        <w:gridCol w:w="109"/>
        <w:gridCol w:w="109"/>
        <w:gridCol w:w="109"/>
        <w:gridCol w:w="390"/>
        <w:gridCol w:w="1428"/>
        <w:gridCol w:w="266"/>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 2025</w:t>
            </w:r>
          </w:p>
        </w:tc>
        <w:tc>
          <w:tcPr>
            <w:tcW w:w="2193" w:type="dxa"/>
            <w:gridSpan w:val="4"/>
            <w:tcBorders/>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Estimated Fair Value</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Short-term investments</w:t>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securities</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55,955 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56,087 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Asset-backed securities</w:t>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6,396 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short-term investments</w:t>
            </w:r>
          </w:p>
        </w:tc>
        <w:tc>
          <w:tcPr>
            <w:tcW w:w="2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62,319 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164 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4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62,483 </w:t>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The Company did not have any short-term investments in unrealized loss positions as of June 30, 2026 and December 31, 2025. Generally, the Company does not intend to sell short-term investments that have unrealized losses, and does not anticipate that it is more likely than not that it will be required to sell such securities before any anticipated recovery of the entire amortized cost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2425"/>
                <wp:effectExtent l="0" t="0" r="0" b="0"/>
                <wp:wrapNone/>
                <wp:docPr id="15" name="Frame1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There were no realized gains or losses from short-term investments that were reclassified out of accumulated other comprehensive income (loss) for both the three and six months ended June 30, 2026 and 2025. The Company determined there were no material credit or non-credit related impairments as of June 30, 2026 and December 31, 2025.</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The following table summarizes the stated maturities of the Company’s short-term investments:</w:t>
      </w:r>
    </w:p>
    <w:tbl>
      <w:tblPr>
        <w:tblW w:w="10205" w:type="dxa"/>
        <w:jc w:val="left"/>
        <w:tblInd w:w="0" w:type="dxa"/>
        <w:tblLayout w:type="fixed"/>
        <w:tblCellMar>
          <w:top w:w="28" w:type="dxa"/>
          <w:left w:w="28" w:type="dxa"/>
          <w:bottom w:w="28" w:type="dxa"/>
          <w:right w:w="28" w:type="dxa"/>
        </w:tblCellMar>
      </w:tblPr>
      <w:tblGrid>
        <w:gridCol w:w="1073"/>
        <w:gridCol w:w="900"/>
        <w:gridCol w:w="908"/>
        <w:gridCol w:w="299"/>
        <w:gridCol w:w="936"/>
        <w:gridCol w:w="145"/>
        <w:gridCol w:w="109"/>
        <w:gridCol w:w="109"/>
        <w:gridCol w:w="109"/>
        <w:gridCol w:w="375"/>
        <w:gridCol w:w="1174"/>
        <w:gridCol w:w="180"/>
        <w:gridCol w:w="109"/>
        <w:gridCol w:w="109"/>
        <w:gridCol w:w="109"/>
        <w:gridCol w:w="275"/>
        <w:gridCol w:w="1007"/>
        <w:gridCol w:w="132"/>
        <w:gridCol w:w="109"/>
        <w:gridCol w:w="109"/>
        <w:gridCol w:w="109"/>
        <w:gridCol w:w="339"/>
        <w:gridCol w:w="1242"/>
        <w:gridCol w:w="239"/>
      </w:tblGrid>
      <w:tr>
        <w:trPr/>
        <w:tc>
          <w:tcPr>
            <w:tcW w:w="107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 2025</w:t>
            </w:r>
          </w:p>
        </w:tc>
      </w:tr>
      <w:tr>
        <w:trPr/>
        <w:tc>
          <w:tcPr>
            <w:tcW w:w="2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Estimated Fair Value</w:t>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Due within one year</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9,108 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9,113 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55,955 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56,087 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Due after one year through five years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6,396 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w:t>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9,472 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9,478 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62,319 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62,483 </w:t>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r>
      <w:tr>
        <w:trPr/>
        <w:tc>
          <w:tcPr>
            <w:tcW w:w="2881"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r>
      <w:tr>
        <w:trPr/>
        <w:tc>
          <w:tcPr>
            <w:tcW w:w="2881"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7.    Fair Value Measurements</w:t>
      </w:r>
    </w:p>
    <w:p>
      <w:pPr>
        <w:pStyle w:val="TextBody"/>
        <w:bidi w:val="0"/>
        <w:spacing w:lineRule="auto" w:line="288" w:before="180" w:after="120"/>
        <w:jc w:val="both"/>
        <w:rPr>
          <w:rFonts w:ascii="Open Sans;sans-serif" w:hAnsi="Open Sans;sans-serif"/>
          <w:b w:val="false"/>
          <w:color w:val="000000"/>
          <w:sz w:val="20"/>
        </w:rPr>
      </w:pPr>
      <w:r>
        <w:rPr>
          <w:rFonts w:ascii="Open Sans;sans-serif" w:hAnsi="Open Sans;sans-serif"/>
          <w:b w:val="false"/>
          <w:color w:val="000000"/>
          <w:sz w:val="20"/>
        </w:rPr>
        <w:t>The following tables present the fair value hierarchy for assets and liabilities measured at fair value:</w:t>
      </w:r>
    </w:p>
    <w:tbl>
      <w:tblPr>
        <w:tblW w:w="9407" w:type="dxa"/>
        <w:jc w:val="left"/>
        <w:tblInd w:w="0" w:type="dxa"/>
        <w:tblLayout w:type="fixed"/>
        <w:tblCellMar>
          <w:top w:w="28" w:type="dxa"/>
          <w:left w:w="28" w:type="dxa"/>
          <w:bottom w:w="28" w:type="dxa"/>
          <w:right w:w="28" w:type="dxa"/>
        </w:tblCellMar>
      </w:tblPr>
      <w:tblGrid>
        <w:gridCol w:w="1299"/>
        <w:gridCol w:w="1141"/>
        <w:gridCol w:w="1145"/>
        <w:gridCol w:w="226"/>
        <w:gridCol w:w="946"/>
        <w:gridCol w:w="109"/>
        <w:gridCol w:w="109"/>
        <w:gridCol w:w="109"/>
        <w:gridCol w:w="109"/>
        <w:gridCol w:w="226"/>
        <w:gridCol w:w="826"/>
        <w:gridCol w:w="109"/>
        <w:gridCol w:w="109"/>
        <w:gridCol w:w="109"/>
        <w:gridCol w:w="109"/>
        <w:gridCol w:w="233"/>
        <w:gridCol w:w="419"/>
        <w:gridCol w:w="112"/>
        <w:gridCol w:w="109"/>
        <w:gridCol w:w="109"/>
        <w:gridCol w:w="109"/>
        <w:gridCol w:w="278"/>
        <w:gridCol w:w="1167"/>
        <w:gridCol w:w="190"/>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 2026</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Total Fair Value</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Cash equivalents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bills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245,988 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245,988 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Money market funds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104,605 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104,605 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Commercial paper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74,938 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74,938 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Certificates of deposit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11,500 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Corporate debt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11,566 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Short-term investments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8,002 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Asset-backed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1,476 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20"/>
              </w:rPr>
            </w:pPr>
            <w:r>
              <w:rPr>
                <w:rFonts w:ascii="Open Sans;sans-serif" w:hAnsi="Open Sans;sans-serif"/>
                <w:b/>
                <w:color w:val="000000"/>
                <w:sz w:val="20"/>
              </w:rPr>
              <w:t>Restricted cash</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Money market funds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46,623 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assets measured at fair value</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405,218 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99,480 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504,698 </w:t>
            </w:r>
          </w:p>
        </w:tc>
        <w:tc>
          <w:tcPr>
            <w:tcW w:w="1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2425"/>
                <wp:effectExtent l="0" t="0" r="0" b="0"/>
                <wp:wrapNone/>
                <wp:docPr id="16" name="Frame1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tbl>
      <w:tblPr>
        <w:tblW w:w="9407" w:type="dxa"/>
        <w:jc w:val="left"/>
        <w:tblInd w:w="0" w:type="dxa"/>
        <w:tblLayout w:type="fixed"/>
        <w:tblCellMar>
          <w:top w:w="28" w:type="dxa"/>
          <w:left w:w="28" w:type="dxa"/>
          <w:bottom w:w="28" w:type="dxa"/>
          <w:right w:w="28" w:type="dxa"/>
        </w:tblCellMar>
      </w:tblPr>
      <w:tblGrid>
        <w:gridCol w:w="1299"/>
        <w:gridCol w:w="1141"/>
        <w:gridCol w:w="1145"/>
        <w:gridCol w:w="226"/>
        <w:gridCol w:w="946"/>
        <w:gridCol w:w="109"/>
        <w:gridCol w:w="109"/>
        <w:gridCol w:w="109"/>
        <w:gridCol w:w="109"/>
        <w:gridCol w:w="226"/>
        <w:gridCol w:w="826"/>
        <w:gridCol w:w="109"/>
        <w:gridCol w:w="109"/>
        <w:gridCol w:w="109"/>
        <w:gridCol w:w="109"/>
        <w:gridCol w:w="233"/>
        <w:gridCol w:w="419"/>
        <w:gridCol w:w="112"/>
        <w:gridCol w:w="109"/>
        <w:gridCol w:w="109"/>
        <w:gridCol w:w="109"/>
        <w:gridCol w:w="278"/>
        <w:gridCol w:w="1167"/>
        <w:gridCol w:w="190"/>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 2025</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Total Fair Value</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Cash equivalents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bills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292,381 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Money market funds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96,042 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96,042 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Commercial paper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41,450 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Certificates of deposit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35,213 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Corporate debt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16,059 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Short-term investments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U.S. treasury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56,087 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56,087 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Asset-backed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6,396 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Restricted cash</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Money market funds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45,786 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assets measured at fair value</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490,296 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99,118 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589,414 </w:t>
            </w:r>
          </w:p>
        </w:tc>
        <w:tc>
          <w:tcPr>
            <w:tcW w:w="1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 classifies money market funds, U.S. treasury bills, commercial paper, certificates of deposit, U.S. treasury securities, asset-backed securities, and corporate debt securities within Level 1 or Level 2 of the fair value hierarchy because the Company values these investments using quoted market prices or alternative pricing sources and models utilizing market observable inputs. </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There were no transfers of financial instruments between the fair value hierarchy levels during the three and six months ended June 30, 2026, 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both"/>
        <w:rPr>
          <w:rFonts w:ascii="Open Sans;sans-serif" w:hAnsi="Open Sans;sans-serif"/>
          <w:b/>
          <w:color w:val="000000"/>
          <w:sz w:val="20"/>
        </w:rPr>
      </w:pPr>
      <w:r>
        <w:rPr>
          <w:rFonts w:ascii="Open Sans;sans-serif" w:hAnsi="Open Sans;sans-serif"/>
          <w:b/>
          <w:color w:val="000000"/>
          <w:sz w:val="20"/>
        </w:rPr>
        <w:t>8.    Certain Balance Sheet Components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Property and Equipment, net</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Property and equipment consisted of the following:</w:t>
      </w:r>
    </w:p>
    <w:tbl>
      <w:tblPr>
        <w:tblW w:w="7563" w:type="dxa"/>
        <w:jc w:val="left"/>
        <w:tblInd w:w="0" w:type="dxa"/>
        <w:tblLayout w:type="fixed"/>
        <w:tblCellMar>
          <w:top w:w="28" w:type="dxa"/>
          <w:left w:w="28" w:type="dxa"/>
          <w:bottom w:w="28" w:type="dxa"/>
          <w:right w:w="28" w:type="dxa"/>
        </w:tblCellMar>
      </w:tblPr>
      <w:tblGrid>
        <w:gridCol w:w="1640"/>
        <w:gridCol w:w="1441"/>
        <w:gridCol w:w="1449"/>
        <w:gridCol w:w="226"/>
        <w:gridCol w:w="946"/>
        <w:gridCol w:w="109"/>
        <w:gridCol w:w="109"/>
        <w:gridCol w:w="109"/>
        <w:gridCol w:w="109"/>
        <w:gridCol w:w="267"/>
        <w:gridCol w:w="976"/>
        <w:gridCol w:w="182"/>
      </w:tblGrid>
      <w:tr>
        <w:trPr/>
        <w:tc>
          <w:tcPr>
            <w:tcW w:w="164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2025</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Internally developed and purchased software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106,237 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86,435 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Computer equipment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9,678 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Leasehold improvements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9,666 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Furniture and fixtures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2,442 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property and equipment, gross</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122,394 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108,221 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Accumulated depreciation and amortization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(55,338)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(48,311)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Property and equipment, net</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67,056 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59,910 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Depreciation and amortization expense related to property and equipment was $7.4 million and $5.2 million for the three months ended June 30, 2026 and 2025, respectively and $13.9 million and $9.1 million for the six months ended June 30, 2026 and 2025, respectively.</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capitalized $10.9 million and $10.9 million as internal-use software development costs during the three months ended June 30, 2026, and 2025, respectively, and $21.6 million and $19.6 million during the six months ended June 30, 2026, and 2025, respectively.</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2425"/>
                <wp:effectExtent l="0" t="0" r="0" b="0"/>
                <wp:wrapNone/>
                <wp:docPr id="17" name="Frame1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left"/>
        <w:rPr>
          <w:rFonts w:ascii="Open Sans;sans-serif" w:hAnsi="Open Sans;sans-serif"/>
          <w:b/>
          <w:i/>
          <w:color w:val="000000"/>
          <w:sz w:val="20"/>
        </w:rPr>
      </w:pPr>
      <w:r>
        <w:rPr>
          <w:rFonts w:ascii="Open Sans;sans-serif" w:hAnsi="Open Sans;sans-serif"/>
          <w:b/>
          <w:i/>
          <w:color w:val="000000"/>
          <w:sz w:val="20"/>
        </w:rPr>
        <w:t>Accrued Expenses and Other Current Liabilities</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Accrued expenses and other current liabilities consisted of the following:</w:t>
      </w:r>
    </w:p>
    <w:p>
      <w:pPr>
        <w:pStyle w:val="TextBody"/>
        <w:bidi w:val="0"/>
        <w:spacing w:before="0" w:after="0"/>
        <w:jc w:val="left"/>
        <w:rPr/>
      </w:pPr>
      <w:r>
        <w:rPr/>
      </w:r>
    </w:p>
    <w:tbl>
      <w:tblPr>
        <w:tblW w:w="7978" w:type="dxa"/>
        <w:jc w:val="left"/>
        <w:tblInd w:w="0" w:type="dxa"/>
        <w:tblLayout w:type="fixed"/>
        <w:tblCellMar>
          <w:top w:w="28" w:type="dxa"/>
          <w:left w:w="28" w:type="dxa"/>
          <w:bottom w:w="28" w:type="dxa"/>
          <w:right w:w="28" w:type="dxa"/>
        </w:tblCellMar>
      </w:tblPr>
      <w:tblGrid>
        <w:gridCol w:w="1675"/>
        <w:gridCol w:w="1467"/>
        <w:gridCol w:w="1477"/>
        <w:gridCol w:w="226"/>
        <w:gridCol w:w="946"/>
        <w:gridCol w:w="109"/>
        <w:gridCol w:w="109"/>
        <w:gridCol w:w="109"/>
        <w:gridCol w:w="109"/>
        <w:gridCol w:w="243"/>
        <w:gridCol w:w="1019"/>
        <w:gridCol w:w="117"/>
        <w:gridCol w:w="109"/>
        <w:gridCol w:w="109"/>
        <w:gridCol w:w="154"/>
      </w:tblGrid>
      <w:tr>
        <w:trPr/>
        <w:tc>
          <w:tcPr>
            <w:tcW w:w="1675"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December 31,</w:t>
              <w:b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Accrued costs of 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104,154 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103,882 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Accrued compensation and benefits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47,702 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Deferred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11,762 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Due to Issuing Banks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7,721 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Operating lease liabilities, current portion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Accrued tax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8,966 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Accrued professional services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Holdback consideration liability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Contingent consideration liability (see Note 4)</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Other accrued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24,400 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Accrued expenses and other current liabilities</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178,526 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215,793 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9.    Commitments and Contingencies</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Letter of Credit and Restricted Cash</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connection with the Oakland lease, the Company is required to provide the landlord a $0.9 million letter of credit. The Company has secured this letter of credit by depositing $0.9 million with the issuing financial institution. During the three months ended June 30, 2026, the Company established a $1.2 million deposit held at an Issuing Bank, which serves as collateral to ensure settlement of cardholder transactions with the Card Networks in the event that cardholder funds are not deposited in time. Both amounts are classified as long-term restricted cash and recorded in other assets on the Condensed Consolidated Balance Sheets.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of June 30, 2026, the balance of restricted cash associated with customer funds was $260.4 million, of which $46.6 million is invested in money market funds.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Legal Contingencies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From time to time in the normal course of business, the Company may be subject to various legal matters such as threatened or pending claims or proceedings. Given the unpredictable nature of legal proceedings, the Company bases its assessment on the information available at the time the financials are available to be issued. As additional information becomes available, the Company reassesses the probability of the loss contingency and the potential liability, and may revise the estimate. The Company is currently involved in the following matters:</w:t>
      </w:r>
    </w:p>
    <w:p>
      <w:pPr>
        <w:pStyle w:val="TextBody"/>
        <w:bidi w:val="0"/>
        <w:spacing w:lineRule="auto" w:line="288" w:before="120" w:after="283"/>
        <w:jc w:val="both"/>
        <w:rPr/>
      </w:pPr>
      <w:r>
        <w:rPr>
          <w:rFonts w:ascii="Open Sans;sans-serif" w:hAnsi="Open Sans;sans-serif"/>
          <w:b w:val="false"/>
          <w:color w:val="000000"/>
          <w:sz w:val="20"/>
        </w:rPr>
        <w:t xml:space="preserve">On December 9, 2024, a putative securities class action lawsuit, captioned </w:t>
      </w:r>
      <w:r>
        <w:rPr>
          <w:rFonts w:ascii="Open Sans;sans-serif" w:hAnsi="Open Sans;sans-serif"/>
          <w:b w:val="false"/>
          <w:i/>
          <w:color w:val="000000"/>
          <w:sz w:val="20"/>
        </w:rPr>
        <w:t>Wai v. Marqeta, Inc., et al.</w:t>
      </w:r>
      <w:r>
        <w:rPr>
          <w:rFonts w:ascii="Open Sans;sans-serif" w:hAnsi="Open Sans;sans-serif"/>
          <w:b w:val="false"/>
          <w:color w:val="000000"/>
          <w:sz w:val="20"/>
        </w:rPr>
        <w:t>, Case No. 24-cv-08874 (N.D. Cal.), was filed in federal court in the Northern District of California (“Court”) against the Company, its former Chief Executive Officer, and its Chief Financial Officer (“Defendants”) alleging violations of federal securities laws. The lawsuit asserted that Defendants made false or misleading statements relating to the Company’s performance or revenue and gross profit expectations in violation of Sections 10(b) and 20(a) of the Securities Exchange Act of 1934 and Rule 10b-5 promulgated thereunder.</w:t>
      </w:r>
    </w:p>
    <w:p>
      <w:pPr>
        <w:pStyle w:val="TextBody"/>
        <w:bidi w:val="0"/>
        <w:spacing w:lineRule="auto" w:line="288" w:before="120" w:after="283"/>
        <w:jc w:val="both"/>
        <w:rPr/>
      </w:pPr>
      <w:r>
        <w:rPr>
          <w:rFonts w:ascii="Open Sans;sans-serif" w:hAnsi="Open Sans;sans-serif"/>
          <w:b w:val="false"/>
          <w:color w:val="000000"/>
          <w:sz w:val="20"/>
        </w:rPr>
        <w:t xml:space="preserve">On December 10, 2024, a second putative securities class action lawsuit, captioned </w:t>
      </w:r>
      <w:r>
        <w:rPr>
          <w:rFonts w:ascii="Open Sans;sans-serif" w:hAnsi="Open Sans;sans-serif"/>
          <w:b w:val="false"/>
          <w:i/>
          <w:color w:val="000000"/>
          <w:sz w:val="20"/>
        </w:rPr>
        <w:t>Ford v. Marqeta, Inc.</w:t>
      </w:r>
      <w:r>
        <w:rPr>
          <w:rFonts w:ascii="Open Sans;sans-serif" w:hAnsi="Open Sans;sans-serif"/>
          <w:b w:val="false"/>
          <w:color w:val="000000"/>
          <w:sz w:val="20"/>
        </w:rPr>
        <w:t xml:space="preserve">, et al., Case No. 24-cv-08892 (N.D. Cal.), was filed in the same Court against the same Defendants alleging violations of the same federal securities laws. The second lawsuit asserted similar theories of liability as the first lawsuit </w:t>
      </w:r>
      <w:r>
        <w:rPr>
          <w:rFonts w:ascii="Open Sans;sans-serif" w:hAnsi="Open Sans;sans-serif"/>
          <w:b w:val="false"/>
          <w:color w:val="231F20"/>
          <w:sz w:val="20"/>
        </w:rPr>
        <w:t>but alleges a broader putative class period of between May 7, 2024 and November 4, 2024 and some additional and/or different allegations on which the claims are based</w:t>
      </w:r>
      <w:r>
        <w:rPr>
          <w:rFonts w:ascii="Open Sans;sans-serif" w:hAnsi="Open Sans;sans-serif"/>
          <w:b w:val="false"/>
          <w:color w:val="000000"/>
          <w:sz w:val="20"/>
        </w:rPr>
        <w:t xml:space="preserve">. Both lawsuits (collectively, the “Securities Actions”) seek to recover damages on behalf of shareholders who acquired shares of the Company’s common stock during their respective putative class periods. The Securities Actions have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2425"/>
                <wp:effectExtent l="0" t="0" r="0" b="0"/>
                <wp:wrapNone/>
                <wp:docPr id="18" name="Frame1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pPr>
      <w:r>
        <w:rPr>
          <w:rFonts w:ascii="Open Sans;sans-serif" w:hAnsi="Open Sans;sans-serif"/>
          <w:b w:val="false"/>
          <w:color w:val="000000"/>
          <w:sz w:val="20"/>
        </w:rPr>
        <w:t xml:space="preserve">consolidated into one consolidated securities litigation captioned </w:t>
      </w:r>
      <w:r>
        <w:rPr>
          <w:rFonts w:ascii="Open Sans;sans-serif" w:hAnsi="Open Sans;sans-serif"/>
          <w:b w:val="false"/>
          <w:i/>
          <w:color w:val="000000"/>
          <w:sz w:val="20"/>
        </w:rPr>
        <w:t>In re Marqeta, Inc. Securities Litigation</w:t>
      </w:r>
      <w:r>
        <w:rPr>
          <w:rFonts w:ascii="Open Sans;sans-serif" w:hAnsi="Open Sans;sans-serif"/>
          <w:b w:val="false"/>
          <w:color w:val="000000"/>
          <w:sz w:val="20"/>
        </w:rPr>
        <w:t xml:space="preserve">, Case No. 24-08874-YGR (N.D. Cal) and the Court has appointed a lead plaintiff and lead plaintiff’s counsel in the matter. On April 10, 2025, the lead plaintiff filed a consolidated amended complaint, which alleges a putative class period of between February 28, 2024 and November 4, 2024. The Company and the other Defendants filed a motion to dismiss the consolidated amended complaint on May 15, 2025.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On November 3, 2025, a settlement was reached, in principle, with the lead plaintiff’s counsel to resolve the Securities Actions for payments totaling $13.0 million, subject to judicial approvals. The Company’s Directors &amp; Officers insurance policy includes a $5.0 million self-insured retention that applies to covered losses related to the Securities Actions, including legal defense fees and settlement payments. If finalized, the settlement will be funded by insurance less the self-insured retention.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of June 30, 2026 and December 31, 2025, the Company had $13.0 million settlement liability in accrued expenses and other current liabilities on the Condensed Consolidated Balance Sheets. The corresponding insurance recovery receivable was $9.5 million and $9.3 million as of June 30, 2026 and December 31, 2025, respectively, and is recorded in prepaid expenses and other current assets. The receivable reflects the portion of settlement expected to be covered by insurance, determined by applying legal fees incurred through June 30, 2026 toward the self-insured retention. As additional legal fees are incurred beyond this date, they will further reduce the remaining self-insured retention, resulting in a corresponding increase to the receivable balance. </w:t>
      </w:r>
    </w:p>
    <w:p>
      <w:pPr>
        <w:pStyle w:val="TextBody"/>
        <w:bidi w:val="0"/>
        <w:spacing w:lineRule="auto" w:line="288" w:before="120" w:after="283"/>
        <w:jc w:val="both"/>
        <w:rPr/>
      </w:pPr>
      <w:r>
        <w:rPr>
          <w:rFonts w:ascii="Open Sans;sans-serif" w:hAnsi="Open Sans;sans-serif"/>
          <w:b w:val="false"/>
          <w:color w:val="000000"/>
          <w:sz w:val="20"/>
        </w:rPr>
        <w:t xml:space="preserve">On February 4, 2025, a putative shareholder derivative lawsuit, captioned </w:t>
      </w:r>
      <w:r>
        <w:rPr>
          <w:rFonts w:ascii="Open Sans;sans-serif" w:hAnsi="Open Sans;sans-serif"/>
          <w:b w:val="false"/>
          <w:i/>
          <w:color w:val="000000"/>
          <w:sz w:val="20"/>
        </w:rPr>
        <w:t>Smith v. Khalaf, et al.</w:t>
      </w:r>
      <w:r>
        <w:rPr>
          <w:rFonts w:ascii="Open Sans;sans-serif" w:hAnsi="Open Sans;sans-serif"/>
          <w:b w:val="false"/>
          <w:color w:val="000000"/>
          <w:sz w:val="20"/>
        </w:rPr>
        <w:t xml:space="preserve">, Case No. 25-cv-01174 (N.D. Cal.), was filed in the same Court against certain of the Company’s current and former officer and its Board of Directors (as then constituted), and names the Company as a nominal defendant. This lawsuit asserts claims for breach of fiduciary duties and violations of federal securities laws, among other claims, between the time period of May 7, 2024 and November 4, 2024 under similar theories as the Securities Actions. Two other substantially similar putative shareholder derivative lawsuits, captioned </w:t>
      </w:r>
      <w:r>
        <w:rPr>
          <w:rFonts w:ascii="Open Sans;sans-serif" w:hAnsi="Open Sans;sans-serif"/>
          <w:b w:val="false"/>
          <w:i/>
          <w:color w:val="000000"/>
          <w:sz w:val="20"/>
        </w:rPr>
        <w:t>Ojserkis v. Khalaf, et al.</w:t>
      </w:r>
      <w:r>
        <w:rPr>
          <w:rFonts w:ascii="Open Sans;sans-serif" w:hAnsi="Open Sans;sans-serif"/>
          <w:b w:val="false"/>
          <w:color w:val="000000"/>
          <w:sz w:val="20"/>
        </w:rPr>
        <w:t xml:space="preserve">, Case No. 25-cv-01883 (N.D. Cal.) and </w:t>
      </w:r>
      <w:r>
        <w:rPr>
          <w:rFonts w:ascii="Open Sans;sans-serif" w:hAnsi="Open Sans;sans-serif"/>
          <w:b w:val="false"/>
          <w:i/>
          <w:color w:val="000000"/>
          <w:sz w:val="20"/>
        </w:rPr>
        <w:t>Preciado v. Khalaf, et al.</w:t>
      </w:r>
      <w:r>
        <w:rPr>
          <w:rFonts w:ascii="Open Sans;sans-serif" w:hAnsi="Open Sans;sans-serif"/>
          <w:b w:val="false"/>
          <w:color w:val="000000"/>
          <w:sz w:val="20"/>
        </w:rPr>
        <w:t xml:space="preserve">, Case No. 3:25-cv-02100 (N.D. Cal.), were filed on February 21, 2025 and February 27, 2025, respectively. All three putative shareholder derivative suits have been consolidated into one lawsuit captioned </w:t>
      </w:r>
      <w:r>
        <w:rPr>
          <w:rFonts w:ascii="Open Sans;sans-serif" w:hAnsi="Open Sans;sans-serif"/>
          <w:b w:val="false"/>
          <w:i/>
          <w:color w:val="000000"/>
          <w:sz w:val="20"/>
        </w:rPr>
        <w:t>In re Marqeta, Inc. Derivative Litigation</w:t>
      </w:r>
      <w:r>
        <w:rPr>
          <w:rFonts w:ascii="Open Sans;sans-serif" w:hAnsi="Open Sans;sans-serif"/>
          <w:b w:val="false"/>
          <w:color w:val="000000"/>
          <w:sz w:val="20"/>
        </w:rPr>
        <w:t xml:space="preserve">, Case No. 4:25-cv-01174-YGR (N.D. Cal). The consolidated derivative action is currently stayed pending developments in the consolidated Securities Actions. </w:t>
      </w:r>
    </w:p>
    <w:p>
      <w:pPr>
        <w:pStyle w:val="TextBody"/>
        <w:bidi w:val="0"/>
        <w:spacing w:lineRule="auto" w:line="288" w:before="120" w:after="283"/>
        <w:jc w:val="left"/>
        <w:rPr>
          <w:rFonts w:ascii="Open Sans;sans-serif" w:hAnsi="Open Sans;sans-serif"/>
          <w:b/>
          <w:i/>
          <w:color w:val="000000"/>
          <w:sz w:val="20"/>
        </w:rPr>
      </w:pPr>
      <w:r>
        <w:rPr>
          <w:rFonts w:ascii="Open Sans;sans-serif" w:hAnsi="Open Sans;sans-serif"/>
          <w:b/>
          <w:i/>
          <w:color w:val="000000"/>
          <w:sz w:val="20"/>
        </w:rPr>
        <w:t>Settlement of Payment Transactions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Pre-funding amounts deposited by program management customers into accounts maintained at Issuing Banks may only be used to settle customers’ payment transactions, and are not subject to the same safeguarding regulations as TransactPay’s customer funds, and as such, are not considered assets of the Company. Accordingly, the funds held in customers’ accounts at Issuing Banks are not reflected on the Company’s Condensed Consolidated Balance Sheets. If a customer does not have sufficient funds to settle a transaction, the Company is liable to the Issuing Bank to settle the transaction and would therefore incur losses if such amounts cannot be subsequently recovered from the customer. The Company did not incur material losses of this nature during the three and six months ended June 30, 2026 and 2025, respectively.</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Indemnifications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the ordinary course of business, the Company enters into agreements of varying scope and terms pursuant to which it agrees to indemnify customers, Card Networks, Issuing Banks, vendors, lessors, and other parties with respect to certain matters, including, but not limited to, losses arising out of the breach of such agreements, services to be provided by the Company or from intellectual property infringement claims made by third parties. With respect to Issuing Banks, the Company has received requests for indemnification from time to time and may indemnify an Issuing Bank for losses such Issuing Bank may incur for non-compliance with applicable laws and regulations, if those losses resulted from the Company’s failure to perform under its program agreement. No significant claims have been incurred during the three and six months ended June 30, 2026 and 2025.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addition, the Company has entered into indemnification agreements with its directors and certain officers and employees that will require the Company, among other things, to indemnify them against certain liabilities that may arise by reason of their status or service as directors, officers, or employees. As of June 30, 2026 and December 31, 2025, no demands have been made upon the Company to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2425"/>
                <wp:effectExtent l="0" t="0" r="0" b="0"/>
                <wp:wrapNone/>
                <wp:docPr id="19" name="Frame1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indemnification under such agreements, and the Company is not aware of any claims that could have a material effect on its Condensed Consolidated Financial Statements.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 also includes service level commitments to its customers, warranting certain levels of performance and permitting these customers to receive credits in the event the Company fails to meet the levels outlined in their respective agreements. No material credits were issued during the three and six months ended June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10.    Stock Incentive Plans</w:t>
      </w:r>
    </w:p>
    <w:p>
      <w:pPr>
        <w:pStyle w:val="TextBody"/>
        <w:bidi w:val="0"/>
        <w:spacing w:lineRule="auto" w:line="268" w:before="120" w:after="283"/>
        <w:jc w:val="both"/>
        <w:rPr/>
      </w:pPr>
      <w:r>
        <w:rPr>
          <w:rFonts w:ascii="Open Sans;sans-serif" w:hAnsi="Open Sans;sans-serif"/>
          <w:b w:val="false"/>
          <w:color w:val="000000"/>
          <w:sz w:val="20"/>
        </w:rPr>
        <w:t xml:space="preserve">As disclosed above in Note 1, </w:t>
      </w:r>
      <w:r>
        <w:rPr>
          <w:color w:val="000000"/>
        </w:rPr>
        <w:t>“</w:t>
      </w:r>
      <w:r>
        <w:rPr>
          <w:rFonts w:ascii="Open Sans;sans-serif" w:hAnsi="Open Sans;sans-serif"/>
          <w:b w:val="false"/>
          <w:i/>
          <w:color w:val="000000"/>
          <w:sz w:val="20"/>
        </w:rPr>
        <w:t>Business Overview and Basis of Presentation”,</w:t>
      </w:r>
      <w:r>
        <w:rPr>
          <w:color w:val="000000"/>
        </w:rPr>
        <w:t xml:space="preserve"> </w:t>
      </w:r>
      <w:r>
        <w:rPr>
          <w:rFonts w:ascii="Open Sans;sans-serif" w:hAnsi="Open Sans;sans-serif"/>
          <w:b w:val="false"/>
          <w:color w:val="000000"/>
          <w:sz w:val="20"/>
        </w:rPr>
        <w:t>all share and per share amounts have been adjusted to reflect the Reverse Stock Split for all periods presented.</w:t>
      </w:r>
    </w:p>
    <w:p>
      <w:pPr>
        <w:pStyle w:val="TextBody"/>
        <w:bidi w:val="0"/>
        <w:spacing w:lineRule="auto" w:line="268" w:before="120" w:after="283"/>
        <w:jc w:val="both"/>
        <w:rPr>
          <w:rFonts w:ascii="Open Sans;sans-serif" w:hAnsi="Open Sans;sans-serif"/>
          <w:b w:val="false"/>
          <w:color w:val="000000"/>
          <w:sz w:val="20"/>
        </w:rPr>
      </w:pPr>
      <w:r>
        <w:rPr>
          <w:rFonts w:ascii="Open Sans;sans-serif" w:hAnsi="Open Sans;sans-serif"/>
          <w:b w:val="false"/>
          <w:color w:val="000000"/>
          <w:sz w:val="20"/>
        </w:rPr>
        <w:t>The following table presents the share-based compensation expense by award type recognized within the following line items in the Condensed Consolidated Statements of Operations and Comprehensive Income (Loss) and Condensed Consolidated Balance Sheet in the periods presented:</w:t>
      </w:r>
    </w:p>
    <w:tbl>
      <w:tblPr>
        <w:tblW w:w="10205" w:type="dxa"/>
        <w:jc w:val="left"/>
        <w:tblInd w:w="0" w:type="dxa"/>
        <w:tblLayout w:type="fixed"/>
        <w:tblCellMar>
          <w:top w:w="28" w:type="dxa"/>
          <w:left w:w="28" w:type="dxa"/>
          <w:bottom w:w="28" w:type="dxa"/>
          <w:right w:w="28" w:type="dxa"/>
        </w:tblCellMar>
      </w:tblPr>
      <w:tblGrid>
        <w:gridCol w:w="1730"/>
        <w:gridCol w:w="1345"/>
        <w:gridCol w:w="1349"/>
        <w:gridCol w:w="235"/>
        <w:gridCol w:w="860"/>
        <w:gridCol w:w="113"/>
        <w:gridCol w:w="113"/>
        <w:gridCol w:w="113"/>
        <w:gridCol w:w="113"/>
        <w:gridCol w:w="235"/>
        <w:gridCol w:w="860"/>
        <w:gridCol w:w="113"/>
        <w:gridCol w:w="109"/>
        <w:gridCol w:w="109"/>
        <w:gridCol w:w="109"/>
        <w:gridCol w:w="226"/>
        <w:gridCol w:w="826"/>
        <w:gridCol w:w="109"/>
        <w:gridCol w:w="109"/>
        <w:gridCol w:w="109"/>
        <w:gridCol w:w="109"/>
        <w:gridCol w:w="226"/>
        <w:gridCol w:w="826"/>
        <w:gridCol w:w="159"/>
      </w:tblGrid>
      <w:tr>
        <w:trPr/>
        <w:tc>
          <w:tcPr>
            <w:tcW w:w="173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Six Months Ended June 30,</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Restricted stock units</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19,982 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24,375 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39,208 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47,909 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Stock options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Performance restricted stock units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Employee Stock Purchase Plan</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Share-based compensation recorded within Compensation and benefits</w:t>
            </w:r>
          </w:p>
        </w:tc>
        <w:tc>
          <w:tcPr>
            <w:tcW w:w="10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22,356 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27,070 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52,985 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Property and equipment (capitalized internal-use software)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5,709 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share-based compensation expense</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24,744 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30,257 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47,367 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58,694 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Restricted Stock Units and Performance Share Units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 summary of the Company's restricted stock units (RSUs) and performance-based restricted stock units (PSUs) activity under the Plans was as follows:</w:t>
      </w:r>
    </w:p>
    <w:tbl>
      <w:tblPr>
        <w:tblW w:w="10135" w:type="dxa"/>
        <w:jc w:val="left"/>
        <w:tblInd w:w="0" w:type="dxa"/>
        <w:tblLayout w:type="fixed"/>
        <w:tblCellMar>
          <w:top w:w="28" w:type="dxa"/>
          <w:left w:w="28" w:type="dxa"/>
          <w:bottom w:w="28" w:type="dxa"/>
          <w:right w:w="28" w:type="dxa"/>
        </w:tblCellMar>
      </w:tblPr>
      <w:tblGrid>
        <w:gridCol w:w="1233"/>
        <w:gridCol w:w="1084"/>
        <w:gridCol w:w="1088"/>
        <w:gridCol w:w="544"/>
        <w:gridCol w:w="544"/>
        <w:gridCol w:w="546"/>
        <w:gridCol w:w="109"/>
        <w:gridCol w:w="109"/>
        <w:gridCol w:w="109"/>
        <w:gridCol w:w="991"/>
        <w:gridCol w:w="3100"/>
        <w:gridCol w:w="678"/>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Weighted- average grant date fair value per share</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December 31, 2025</w:t>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7,271 </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31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19.52 </w:t>
            </w:r>
          </w:p>
        </w:tc>
        <w:tc>
          <w:tcPr>
            <w:tcW w:w="6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Granted</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6,460 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31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15.86 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Vested</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(2,541)</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3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19.74 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Forfeited</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(1,456)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31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17.85 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June 30, 2026</w:t>
            </w:r>
          </w:p>
        </w:tc>
        <w:tc>
          <w:tcPr>
            <w:tcW w:w="108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9,734 </w:t>
            </w:r>
          </w:p>
        </w:tc>
        <w:tc>
          <w:tcPr>
            <w:tcW w:w="5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3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17.29 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June 30, 2026, unrecognized compensation expense related to unvested RSUs and PSUs was $153.4 million. These costs are expected to be recognized over a weighted-average period of 2.1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2425"/>
                <wp:effectExtent l="0" t="0" r="0" b="0"/>
                <wp:wrapNone/>
                <wp:docPr id="20" name="Frame2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color w:val="000000"/>
          <w:sz w:val="20"/>
        </w:rPr>
      </w:pPr>
      <w:r>
        <w:rPr>
          <w:rFonts w:ascii="Open Sans;sans-serif" w:hAnsi="Open Sans;sans-serif"/>
          <w:b/>
          <w:color w:val="000000"/>
          <w:sz w:val="20"/>
        </w:rPr>
        <w:t>Stock Options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A summary of the Company's stock option activity under the Plans is as follows:</w:t>
      </w:r>
    </w:p>
    <w:tbl>
      <w:tblPr>
        <w:tblW w:w="10205" w:type="dxa"/>
        <w:jc w:val="left"/>
        <w:tblInd w:w="0" w:type="dxa"/>
        <w:tblLayout w:type="fixed"/>
        <w:tblCellMar>
          <w:top w:w="28" w:type="dxa"/>
          <w:left w:w="28" w:type="dxa"/>
          <w:bottom w:w="28" w:type="dxa"/>
          <w:right w:w="28" w:type="dxa"/>
        </w:tblCellMar>
      </w:tblPr>
      <w:tblGrid>
        <w:gridCol w:w="744"/>
        <w:gridCol w:w="580"/>
        <w:gridCol w:w="583"/>
        <w:gridCol w:w="486"/>
        <w:gridCol w:w="385"/>
        <w:gridCol w:w="386"/>
        <w:gridCol w:w="109"/>
        <w:gridCol w:w="109"/>
        <w:gridCol w:w="109"/>
        <w:gridCol w:w="438"/>
        <w:gridCol w:w="1370"/>
        <w:gridCol w:w="214"/>
        <w:gridCol w:w="109"/>
        <w:gridCol w:w="109"/>
        <w:gridCol w:w="109"/>
        <w:gridCol w:w="804"/>
        <w:gridCol w:w="804"/>
        <w:gridCol w:w="806"/>
        <w:gridCol w:w="109"/>
        <w:gridCol w:w="109"/>
        <w:gridCol w:w="109"/>
        <w:gridCol w:w="336"/>
        <w:gridCol w:w="1051"/>
        <w:gridCol w:w="237"/>
      </w:tblGrid>
      <w:tr>
        <w:trPr/>
        <w:tc>
          <w:tcPr>
            <w:tcW w:w="74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Weighted - 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Open Sans;sans-serif" w:hAnsi="Open Sans;sans-serif"/>
                <w:b/>
                <w:color w:val="000000"/>
                <w:sz w:val="16"/>
              </w:rPr>
              <w:t xml:space="preserve">Aggregate Intrinsic Value </w:t>
            </w:r>
            <w:r>
              <w:rPr>
                <w:rFonts w:ascii="Open Sans;sans-serif" w:hAnsi="Open Sans;sans-serif"/>
                <w:b/>
                <w:color w:val="000000"/>
                <w:sz w:val="10"/>
              </w:rPr>
              <w:t>(1)</w:t>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December 31, 2025</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2,049 </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27.42 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7,321 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Exercised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5.76 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Balance as of June 30, 2026</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2,040 </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27.52 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4,928 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Exercisable as of June 30, 2026</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1,969 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27.74 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4,928 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Vested as of June 30, 2026</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1,969 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27.74 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4,928 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Open Sans;sans-serif" w:hAnsi="Open Sans;sans-serif"/>
          <w:b w:val="false"/>
          <w:color w:val="000000"/>
          <w:sz w:val="16"/>
        </w:rPr>
      </w:pPr>
      <w:r>
        <w:rPr>
          <w:rFonts w:ascii="Open Sans;sans-serif" w:hAnsi="Open Sans;sans-serif"/>
          <w:b w:val="false"/>
          <w:color w:val="000000"/>
          <w:sz w:val="16"/>
        </w:rPr>
        <w:t>(1) Intrinsic value is calculated based on the difference between the exercise price of in-the-money-stock options and the fair value of the common stock as of the respective balance sheet dates.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As of June 30, 2026, aggregate unrecognized compensation expense related to unvested outstanding stock options was $0.9 million. These costs are expected to be recognized over a weighted-average period of 0.5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11.    Stockholders’ Equity Transactions</w:t>
      </w:r>
    </w:p>
    <w:p>
      <w:pPr>
        <w:pStyle w:val="TextBody"/>
        <w:bidi w:val="0"/>
        <w:spacing w:lineRule="auto" w:line="268" w:before="120" w:after="283"/>
        <w:jc w:val="both"/>
        <w:rPr/>
      </w:pPr>
      <w:r>
        <w:rPr>
          <w:rFonts w:ascii="Open Sans;sans-serif" w:hAnsi="Open Sans;sans-serif"/>
          <w:b w:val="false"/>
          <w:color w:val="000000"/>
          <w:sz w:val="20"/>
        </w:rPr>
        <w:t xml:space="preserve">As disclosed above in Note 1, </w:t>
      </w:r>
      <w:r>
        <w:rPr>
          <w:color w:val="000000"/>
        </w:rPr>
        <w:t>“</w:t>
      </w:r>
      <w:r>
        <w:rPr>
          <w:rFonts w:ascii="Open Sans;sans-serif" w:hAnsi="Open Sans;sans-serif"/>
          <w:b w:val="false"/>
          <w:i/>
          <w:color w:val="000000"/>
          <w:sz w:val="20"/>
        </w:rPr>
        <w:t>Business Overview and Basis of Presentation”,</w:t>
      </w:r>
      <w:r>
        <w:rPr>
          <w:color w:val="000000"/>
        </w:rPr>
        <w:t xml:space="preserve"> </w:t>
      </w:r>
      <w:r>
        <w:rPr>
          <w:rFonts w:ascii="Open Sans;sans-serif" w:hAnsi="Open Sans;sans-serif"/>
          <w:b w:val="false"/>
          <w:color w:val="000000"/>
          <w:sz w:val="20"/>
        </w:rPr>
        <w:t>all share and per share amounts have been adjusted to reflect the Reverse Stock Split for all periods presented.</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Share Repurchase Programs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On May 6, 2024, the Company’s Board of Directors authorized a share repurchase program of up to $200 million of the Company’s Class A common stock (the “2024 Share Repurchase Program”). Under the 2024 Share Repurchase Program, the Company was authorized to repurchase shares through open market purchases, in privately negotiated transactions or by other methods, in accordance with applicable federal securities laws, including through trading plans under Rule 10b5-1 of the Exchange Act. The number of shares repurchased and the timing of purchases were based on general business and market conditions, and other factors, including legal requirements.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During the six months ended June 30, 2025, the Company repurchased approximately 4.8 million shares under the 2024 Share Repurchase Program for a total cost of $80.5 million, at an average price of $16.80 per share. The aggregate cost of the shares repurchased and the related transaction costs and excise taxes of $1.1 million during the six months ended June 30 2025 are reflected as a reduction to common stock and Additional paid-in capital on the Company’s Condensed Consolidated Balance Sheet. Repurchases under the 2024 Share Repurchase Program were completed as of March 31, 2025.</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On February 25, 2025, the Company’s Board of Directors authorized an additional share repurchase program for up to $300 million of the Company’s Class A common stock (the “February 2025 Share Repurchase Program”). Under the February 2025 Share Repurchase Program, the Company was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were based on general business and market conditions, and other factors, including legal requirements. The 2025 Share Repurchase Program has no set expiration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2425"/>
                <wp:effectExtent l="0" t="0" r="0" b="0"/>
                <wp:wrapNone/>
                <wp:docPr id="21" name="Frame2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During the three and six months ended June 30, 2025, the Company repurchased approximately 8.8 million and 10.6 million shares under the February 2025 Share Repurchase Program for $162.9 million and $193.1 million, at an average price of $18.56 and $18.32 per share, respectively. The aggregate cost of the shares repurchased and the related transaction costs and excise taxes of $2.1 million and $2.6 million during the three and six months ended June 30, 2025, respectively, are reflected as a reduction to Common stock and Additional paid-in capital on the Company’s Condensed Consolidated Balance Sheet. Repurchases under the February 2025 Share Repurchase Program were completed during the fourth quarter of 2025.</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On December 4, 2025, the Company’s Board of Directors authorized an additional share repurchase program of up to $100 million of the Company’s Class A common stock (the “December 2025 Share Repurchase Program”). Under the December 2025 Share Repurchase Program, the Company is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are based on general business and market conditions, and other factors, including legal requirements. The December 2025 Share Repurchase Program has no set expiration date.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During the three and six months ended June 30, 2026, the Company repurchased approximately 3.2 million and 5.6 million shares under the December 2025 Share Repurchase Program for $51.1 million and $90.2 million, at an average price of $15.90 and $16.21 per share, respectively. The aggregate cost of the shares repurchased and the related transaction costs and excise taxes of $0.6 million and $1.1 million during the three and six months ended June 30, 2026, respectively, are reflected as a reduction to Common stock and Additional paid-in capital on the Company’s Condensed Consolidated Balance Sheet. As of June 30, 2026, $1.4 million remained available for future share repurchases under the December 2025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both"/>
        <w:rPr>
          <w:rFonts w:ascii="Open Sans;sans-serif" w:hAnsi="Open Sans;sans-serif"/>
          <w:b/>
          <w:color w:val="000000"/>
          <w:sz w:val="20"/>
        </w:rPr>
      </w:pPr>
      <w:r>
        <w:rPr>
          <w:rFonts w:ascii="Open Sans;sans-serif" w:hAnsi="Open Sans;sans-serif"/>
          <w:b/>
          <w:color w:val="000000"/>
          <w:sz w:val="20"/>
        </w:rPr>
        <w:t>12.    Net Income (Loss) Per Share Attributable to Common Stockholders</w:t>
      </w:r>
    </w:p>
    <w:p>
      <w:pPr>
        <w:pStyle w:val="TextBody"/>
        <w:bidi w:val="0"/>
        <w:spacing w:lineRule="auto" w:line="268" w:before="120" w:after="120"/>
        <w:jc w:val="both"/>
        <w:rPr/>
      </w:pPr>
      <w:r>
        <w:rPr>
          <w:rFonts w:ascii="Open Sans;sans-serif" w:hAnsi="Open Sans;sans-serif"/>
          <w:b w:val="false"/>
          <w:color w:val="000000"/>
          <w:sz w:val="20"/>
        </w:rPr>
        <w:t xml:space="preserve">As disclosed above in Note 1, </w:t>
      </w:r>
      <w:r>
        <w:rPr>
          <w:color w:val="000000"/>
        </w:rPr>
        <w:t>“</w:t>
      </w:r>
      <w:r>
        <w:rPr>
          <w:rFonts w:ascii="Open Sans;sans-serif" w:hAnsi="Open Sans;sans-serif"/>
          <w:b w:val="false"/>
          <w:i/>
          <w:color w:val="000000"/>
          <w:sz w:val="20"/>
        </w:rPr>
        <w:t>Business Overview and Basis of Presentation”,</w:t>
      </w:r>
      <w:r>
        <w:rPr>
          <w:color w:val="000000"/>
        </w:rPr>
        <w:t xml:space="preserve"> </w:t>
      </w:r>
      <w:r>
        <w:rPr>
          <w:rFonts w:ascii="Open Sans;sans-serif" w:hAnsi="Open Sans;sans-serif"/>
          <w:b w:val="false"/>
          <w:color w:val="000000"/>
          <w:sz w:val="20"/>
        </w:rPr>
        <w:t>all share and per share amounts have been adjusted to reflect the Reverse Stock Split for all periods presented.</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Basic net income (loss) per share is computed by dividing the net income (loss) by the weighted-average number of shares of common stock outstanding during the period. Diluted net income (loss) per share is computed by dividing net income (loss) by the weighted-average number of shares of common stock outstanding, adjusted for the dilutive effect of all potential shares of common stock. In periods when the Company reported a net loss, diluted net loss per share is the same as basic net loss per share because the effects of potentially dilutive items are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2425"/>
                <wp:effectExtent l="0" t="0" r="0" b="0"/>
                <wp:wrapNone/>
                <wp:docPr id="22" name="Frame2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 xml:space="preserve">The Company calculated basic and diluted net income (loss) per share attributable to common stockholders as follows: </w:t>
      </w:r>
    </w:p>
    <w:tbl>
      <w:tblPr>
        <w:tblW w:w="11292" w:type="dxa"/>
        <w:jc w:val="left"/>
        <w:tblInd w:w="0" w:type="dxa"/>
        <w:tblLayout w:type="fixed"/>
        <w:tblCellMar>
          <w:top w:w="28" w:type="dxa"/>
          <w:left w:w="28" w:type="dxa"/>
          <w:bottom w:w="28" w:type="dxa"/>
          <w:right w:w="28" w:type="dxa"/>
        </w:tblCellMar>
      </w:tblPr>
      <w:tblGrid>
        <w:gridCol w:w="895"/>
        <w:gridCol w:w="391"/>
        <w:gridCol w:w="395"/>
        <w:gridCol w:w="211"/>
        <w:gridCol w:w="616"/>
        <w:gridCol w:w="109"/>
        <w:gridCol w:w="109"/>
        <w:gridCol w:w="109"/>
        <w:gridCol w:w="109"/>
        <w:gridCol w:w="211"/>
        <w:gridCol w:w="511"/>
        <w:gridCol w:w="109"/>
        <w:gridCol w:w="109"/>
        <w:gridCol w:w="109"/>
        <w:gridCol w:w="109"/>
        <w:gridCol w:w="236"/>
        <w:gridCol w:w="590"/>
        <w:gridCol w:w="109"/>
        <w:gridCol w:w="109"/>
        <w:gridCol w:w="109"/>
        <w:gridCol w:w="109"/>
        <w:gridCol w:w="211"/>
        <w:gridCol w:w="526"/>
        <w:gridCol w:w="109"/>
        <w:gridCol w:w="109"/>
        <w:gridCol w:w="109"/>
        <w:gridCol w:w="109"/>
        <w:gridCol w:w="211"/>
        <w:gridCol w:w="721"/>
        <w:gridCol w:w="109"/>
        <w:gridCol w:w="109"/>
        <w:gridCol w:w="109"/>
        <w:gridCol w:w="109"/>
        <w:gridCol w:w="211"/>
        <w:gridCol w:w="616"/>
        <w:gridCol w:w="109"/>
        <w:gridCol w:w="109"/>
        <w:gridCol w:w="109"/>
        <w:gridCol w:w="109"/>
        <w:gridCol w:w="211"/>
        <w:gridCol w:w="631"/>
        <w:gridCol w:w="109"/>
        <w:gridCol w:w="109"/>
        <w:gridCol w:w="109"/>
        <w:gridCol w:w="109"/>
        <w:gridCol w:w="211"/>
        <w:gridCol w:w="481"/>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Six Months Ended June 30,</w:t>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Class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Class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Class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Class 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6"/>
              </w:rPr>
            </w:pPr>
            <w:r>
              <w:rPr>
                <w:rFonts w:ascii="Open Sans;sans-serif" w:hAnsi="Open Sans;sans-serif"/>
                <w:b/>
                <w:color w:val="000000"/>
                <w:sz w:val="16"/>
              </w:rPr>
              <w:t>Class B</w:t>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Numerator</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income (loss) attributable to common stockholders,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Net income (loss) attributable to common stockholders,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14,182 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(616)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6"/>
              </w:rPr>
            </w:pPr>
            <w:r>
              <w:rPr>
                <w:rFonts w:ascii="Open Sans;sans-serif" w:hAnsi="Open Sans;sans-serif"/>
                <w:b/>
                <w:color w:val="000000"/>
                <w:sz w:val="16"/>
              </w:rPr>
              <w:t>Denominator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Weighted-average shares used in computing basic net income (loss) share attributable to common stockholders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97,267 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107,056 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98,097 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Effect of dilutive potential shares of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Weighted-average shares used in computing diluted net income (loss) per share attributable to common stockholders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98,295 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8,502 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107,056 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8,323 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99,075 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8,516 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111,991 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8,324 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Net income (loss) per share attributable to common stockholders,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Net income (loss) per share attributable to common stockholders,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6"/>
              </w:rPr>
            </w:pPr>
            <w:r>
              <w:rPr>
                <w:rFonts w:ascii="Open Sans;sans-serif" w:hAnsi="Open Sans;sans-serif"/>
                <w:b w:val="false"/>
                <w:color w:val="000000"/>
                <w:sz w:val="16"/>
              </w:rPr>
              <w:t>(0.07)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the liquidation and dividend rights are identical for Class A common stock and Class B common stock, the undistributed earnings are allocated on a proportionate basis and the resulting income or loss per share will, therefore, be the same for both Class A common stock and Class B common stock on an individual or combined basis.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following potentially dilutive securities were excluded from the computation of diluted net loss per share during the three and six months ended June 30, 2025 because including them would have had an anti-dilutive effect as the Company was in a loss position during the period:</w:t>
      </w:r>
    </w:p>
    <w:tbl>
      <w:tblPr>
        <w:tblW w:w="9848" w:type="dxa"/>
        <w:jc w:val="left"/>
        <w:tblInd w:w="0" w:type="dxa"/>
        <w:tblLayout w:type="fixed"/>
        <w:tblCellMar>
          <w:top w:w="28" w:type="dxa"/>
          <w:left w:w="28" w:type="dxa"/>
          <w:bottom w:w="28" w:type="dxa"/>
          <w:right w:w="28" w:type="dxa"/>
        </w:tblCellMar>
      </w:tblPr>
      <w:tblGrid>
        <w:gridCol w:w="2389"/>
        <w:gridCol w:w="2099"/>
        <w:gridCol w:w="2112"/>
        <w:gridCol w:w="459"/>
        <w:gridCol w:w="367"/>
        <w:gridCol w:w="236"/>
        <w:gridCol w:w="109"/>
        <w:gridCol w:w="109"/>
        <w:gridCol w:w="109"/>
        <w:gridCol w:w="353"/>
        <w:gridCol w:w="353"/>
        <w:gridCol w:w="236"/>
        <w:gridCol w:w="109"/>
        <w:gridCol w:w="109"/>
        <w:gridCol w:w="109"/>
        <w:gridCol w:w="109"/>
        <w:gridCol w:w="109"/>
        <w:gridCol w:w="109"/>
        <w:gridCol w:w="109"/>
        <w:gridCol w:w="154"/>
      </w:tblGrid>
      <w:tr>
        <w:trPr/>
        <w:tc>
          <w:tcPr>
            <w:tcW w:w="2389"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Class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Warrants to purchase Class B common stock</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406 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Stock options, restricted stock, and employee stock purchase plan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10,415 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1,269 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w:t>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10,415 </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1,675 </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Potentially dilutive securities that were excluded from the computation of diluted net income per share during the three and six months ended June 30, 2026 because including them would have had an anti-dilutive effect were as follows:</w:t>
      </w:r>
    </w:p>
    <w:tbl>
      <w:tblPr>
        <w:tblW w:w="10205" w:type="dxa"/>
        <w:jc w:val="left"/>
        <w:tblInd w:w="0" w:type="dxa"/>
        <w:tblLayout w:type="fixed"/>
        <w:tblCellMar>
          <w:top w:w="28" w:type="dxa"/>
          <w:left w:w="28" w:type="dxa"/>
          <w:bottom w:w="28" w:type="dxa"/>
          <w:right w:w="28" w:type="dxa"/>
        </w:tblCellMar>
      </w:tblPr>
      <w:tblGrid>
        <w:gridCol w:w="1663"/>
        <w:gridCol w:w="1462"/>
        <w:gridCol w:w="1466"/>
        <w:gridCol w:w="527"/>
        <w:gridCol w:w="280"/>
        <w:gridCol w:w="254"/>
        <w:gridCol w:w="254"/>
        <w:gridCol w:w="254"/>
        <w:gridCol w:w="254"/>
        <w:gridCol w:w="338"/>
        <w:gridCol w:w="283"/>
        <w:gridCol w:w="254"/>
        <w:gridCol w:w="109"/>
        <w:gridCol w:w="109"/>
        <w:gridCol w:w="109"/>
        <w:gridCol w:w="491"/>
        <w:gridCol w:w="269"/>
        <w:gridCol w:w="230"/>
        <w:gridCol w:w="230"/>
        <w:gridCol w:w="230"/>
        <w:gridCol w:w="230"/>
        <w:gridCol w:w="301"/>
        <w:gridCol w:w="273"/>
        <w:gridCol w:w="335"/>
      </w:tblGrid>
      <w:tr>
        <w:trPr/>
        <w:tc>
          <w:tcPr>
            <w:tcW w:w="1663"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4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5"/>
              </w:rPr>
            </w:pPr>
            <w:r>
              <w:rPr>
                <w:rFonts w:ascii="Open Sans;sans-serif" w:hAnsi="Open Sans;sans-serif"/>
                <w:b/>
                <w:color w:val="000000"/>
                <w:sz w:val="15"/>
              </w:rPr>
              <w:t>Six Months Ended June 30, 2026</w:t>
            </w:r>
          </w:p>
        </w:tc>
      </w:tr>
      <w:tr>
        <w:trPr/>
        <w:tc>
          <w:tcPr>
            <w:tcW w:w="4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5"/>
              </w:rPr>
            </w:pPr>
            <w:r>
              <w:rPr>
                <w:rFonts w:ascii="Open Sans;sans-serif" w:hAnsi="Open Sans;sans-serif"/>
                <w:b/>
                <w:color w:val="000000"/>
                <w:sz w:val="15"/>
              </w:rPr>
              <w:t>Class A</w:t>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5"/>
              </w:rPr>
            </w:pPr>
            <w:r>
              <w:rPr>
                <w:rFonts w:ascii="Open Sans;sans-serif" w:hAnsi="Open Sans;sans-serif"/>
                <w:b/>
                <w:color w:val="000000"/>
                <w:sz w:val="15"/>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5"/>
              </w:rPr>
            </w:pPr>
            <w:r>
              <w:rPr>
                <w:rFonts w:ascii="Open Sans;sans-serif" w:hAnsi="Open Sans;sans-serif"/>
                <w:b/>
                <w:color w:val="000000"/>
                <w:sz w:val="15"/>
              </w:rPr>
              <w:t>Class A</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Open Sans;sans-serif" w:hAnsi="Open Sans;sans-serif"/>
                <w:b/>
                <w:color w:val="000000"/>
                <w:sz w:val="15"/>
              </w:rPr>
            </w:pPr>
            <w:r>
              <w:rPr>
                <w:rFonts w:ascii="Open Sans;sans-serif" w:hAnsi="Open Sans;sans-serif"/>
                <w:b/>
                <w:color w:val="000000"/>
                <w:sz w:val="15"/>
              </w:rPr>
              <w:t>Class B</w:t>
            </w:r>
          </w:p>
        </w:tc>
      </w:tr>
      <w:tr>
        <w:trPr/>
        <w:tc>
          <w:tcPr>
            <w:tcW w:w="459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59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59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4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Stock options, restricted stock, and employee stock purchase plan</w:t>
            </w:r>
          </w:p>
        </w:tc>
        <w:tc>
          <w:tcPr>
            <w:tcW w:w="8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2,816 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473 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2,123 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315 </w:t>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2425"/>
                <wp:effectExtent l="0" t="0" r="0" b="0"/>
                <wp:wrapNone/>
                <wp:docPr id="23" name="Frame2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lineRule="auto" w:line="288" w:before="420" w:after="283"/>
        <w:jc w:val="both"/>
        <w:rPr>
          <w:rFonts w:ascii="Open Sans;sans-serif" w:hAnsi="Open Sans;sans-serif"/>
          <w:b/>
          <w:color w:val="000000"/>
          <w:sz w:val="20"/>
        </w:rPr>
      </w:pPr>
      <w:r>
        <w:rPr>
          <w:rFonts w:ascii="Open Sans;sans-serif" w:hAnsi="Open Sans;sans-serif"/>
          <w:b/>
          <w:color w:val="000000"/>
          <w:sz w:val="20"/>
        </w:rPr>
        <w:t>13.    Income Tax</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 recorded income tax expense of $0.5 million and $0.2 million for the three month periods ended June 30, 2026 and 2025, respectively, and $0.7 million and $0.4 million for the six month periods ended June 30, 2026 and 2025, respectively, which was primarily attributable to income tax expense in profitable jurisdictions for both respective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Open Sans;sans-serif" w:hAnsi="Open Sans;sans-serif"/>
          <w:b/>
          <w:color w:val="000000"/>
          <w:sz w:val="20"/>
        </w:rPr>
      </w:pPr>
      <w:r>
        <w:rPr>
          <w:rFonts w:ascii="Open Sans;sans-serif" w:hAnsi="Open Sans;sans-serif"/>
          <w:b/>
          <w:color w:val="000000"/>
          <w:sz w:val="20"/>
        </w:rPr>
        <w:t xml:space="preserve">14.    Concentration Risks and Significant Customers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Financial instruments that potentially expose the Company to concentration of credit risk consist of cash and cash equivalents, short-term investments, and accounts receivable. Cash and cash equivalents held with financial institutions may exceed federally insured limits, posing potential credit risk.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of June 30, 2026 and December 31, 2025, short-term investments were $9.5 million and $62.5 million, respectively, and there was no concentration of securities of the same issuer with an aggregate fair value greater than 5% of the total balance, except for U.S. treasury securities, which amounted to $8.0 million, or 84%, at June 30, 2026 and $56.1 million, or 90%, at December 31, 2025, respectively.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 significant portion of the Company's payment transactions are settled through one Issuing Bank, Sutton Bank. For the three months ended June 30, 2026 and 2025, 58% and 65%, respectively, of Total Processing Volume, which is the total dollar amount of payments processed through the Company’s platform, net of returns and chargebacks, was settled through Sutton Bank. For the six months ended June 30, 2026 and 2025, 60% and 66%, respectively, of Total Processing Volume, which is the total dollar amount of payments processed through the Company’s platform, net of returns and chargebacks, was settled through Sutton Bank.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Company derives a significant portion of its revenue from one customer. This customer accounted for 41% and 46% of net revenue for the three months ended June 30, 2026 and 2025, respectively, and 42% and 45% of net revenue for the six months ended June 30, 2026 and 2025, respectively. As of June 30, 2026, two separate customers accounted for 21% and 12% of the Company’s accounts receivable balance. As of December 31, 2025, no customers exceeded 10% of the Company’s accounts receivable balance.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000000"/>
          <w:sz w:val="20"/>
        </w:rPr>
      </w:pPr>
      <w:r>
        <w:rPr>
          <w:rFonts w:ascii="Open Sans;sans-serif" w:hAnsi="Open Sans;sans-serif"/>
          <w:b/>
          <w:color w:val="000000"/>
          <w:sz w:val="20"/>
        </w:rPr>
        <w:t>15.    Segment Information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Company's chief operating decision maker (“CODM”) is its Chief Executive Officer, who regularly reviews financial information presented on a consolidated basis for purposes of allocating resources and evaluating financial performance. The Company provides a single, global, cloud-based, open API platform for modern card issuing and transaction processing, and primarily earns revenue from processing card transactions for its customers. As such, the Company operates as a single operating segment and reporting unit.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CODM assesses performance and decides how to allocate resources based on consolidated net income or loss as the measure of profit and loss and consolidated total assets. The measure of segment assets is reported on the balance sheet as total assets. The CODM uses net income or loss in the annual budgeting process and subsequent monitoring of budget versus actual results as well as in assessing the return on consolidated total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2425"/>
                <wp:effectExtent l="0" t="0" r="0" b="0"/>
                <wp:wrapNone/>
                <wp:docPr id="24" name="Frame2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following is the information used by the CODM in assessing segment performance:</w:t>
      </w:r>
    </w:p>
    <w:tbl>
      <w:tblPr>
        <w:tblW w:w="10205" w:type="dxa"/>
        <w:jc w:val="left"/>
        <w:tblInd w:w="0" w:type="dxa"/>
        <w:tblLayout w:type="fixed"/>
        <w:tblCellMar>
          <w:top w:w="28" w:type="dxa"/>
          <w:left w:w="28" w:type="dxa"/>
          <w:bottom w:w="28" w:type="dxa"/>
          <w:right w:w="28" w:type="dxa"/>
        </w:tblCellMar>
      </w:tblPr>
      <w:tblGrid>
        <w:gridCol w:w="1489"/>
        <w:gridCol w:w="1282"/>
        <w:gridCol w:w="1282"/>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6"/>
      </w:tblGrid>
      <w:tr>
        <w:trPr/>
        <w:tc>
          <w:tcPr>
            <w:tcW w:w="148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Six Months Ended June 30,</w:t>
            </w:r>
          </w:p>
        </w:tc>
      </w:tr>
      <w:tr>
        <w:trPr/>
        <w:tc>
          <w:tcPr>
            <w:tcW w:w="4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6"/>
              </w:rPr>
            </w:pPr>
            <w:r>
              <w:rPr>
                <w:rFonts w:ascii="Open Sans;sans-serif" w:hAnsi="Open Sans;sans-serif"/>
                <w:b/>
                <w:color w:val="000000"/>
                <w:sz w:val="16"/>
              </w:rPr>
              <w:t>2025</w:t>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Net 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175,995 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150,392 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341,793 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289,465 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Cost of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54,122 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46,331 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86,725 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Gross profit</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121,873 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104,061 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239,465 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202,740 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Significant expenses:</w:t>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Employee compensation and benefits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55,906 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54,339 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114,474 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Share based compensation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27,070 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52,985 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Technology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16,102 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36,483 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30,913 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Depreciation and amortization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11,984 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Professional services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9,914 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Marketing and advertising</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1,180 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Occupancy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1,760 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Other operating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7,296 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Income (loss) from operations</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3,636 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(9,228)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5,730 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(27,766)</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Interest income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18,859 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Other income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Income tax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441 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Segment and consolidated net income (loss)</w:t>
            </w:r>
            <w:r>
              <w:rPr>
                <w:rFonts w:ascii="Open Sans;sans-serif" w:hAnsi="Open Sans;sans-serif"/>
                <w:b w:val="false"/>
                <w:color w:val="000000"/>
                <w:sz w:val="12"/>
              </w:rPr>
              <w:t>(1)</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7,567 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(647)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15,401 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(8,907)</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53"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4053"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4053"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4053"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16"/>
        </w:rPr>
      </w:pPr>
      <w:r>
        <w:rPr>
          <w:rFonts w:ascii="Open Sans;sans-serif" w:hAnsi="Open Sans;sans-serif"/>
          <w:b w:val="false"/>
          <w:color w:val="000000"/>
          <w:sz w:val="16"/>
        </w:rPr>
        <w:t xml:space="preserve">(1) The Company operates as a single reportable segment that is managed on a consolidated basis, therefore the Company’s segment net income (loss) is the same as the Company’s consolidated net income (loss).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Net revenue outside of the United States, based on the billing address of the customer, was 15% and 13%, for the three months ended June 30, 2026 and 2025, respectively, and was 15% and 12%, for the six months ended June 30, 2026 and 2025, respectively.</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of June 30, 2026 and December 31, 2025, tangible long lived assets outside of the US were not material and not used by the CODM in assessing and evaluating financial performance and allocating resources.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000000"/>
          <w:sz w:val="20"/>
        </w:rPr>
      </w:pPr>
      <w:r>
        <w:rPr>
          <w:rFonts w:ascii="Open Sans;sans-serif" w:hAnsi="Open Sans;sans-serif"/>
          <w:b/>
          <w:color w:val="000000"/>
          <w:sz w:val="20"/>
        </w:rPr>
        <w:t>16.    Subsequent Events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On August 3, 2026, the Company’s Board of Directors unanimously approved an additional repurchase program authorizing the Company to purchase up to an aggregate of $150 million of the Company’s Class A common stock (the “August 2026 Share Repurchase Program”). This August 2026 Share Repurchase Program is distinct from the existing December 2025 Share Repurchase Program, which, as of the date of this filing, has been fully completed with no authorization remaining.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 making the determination that the August 2026 Share Repurchase Program is in the best interest of the Company and its stockholders, the Board of Directors considered a number of factors including, but not limited to, the Company's liquidity and capital allocation strategy, legal and regulatory compliance, the effect of any repurchases on concentration of ownership and voting power, and the effect of any repurchases on any of our periodically reported financial metrics. For the avoidance of doubt, the Board of Directors does not expect that the repurchases contemplated under the August 2026 Share Repurchase Program would result in any stockholder having a majority of voting power.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2425"/>
                <wp:effectExtent l="0" t="0" r="0" b="0"/>
                <wp:wrapNone/>
                <wp:docPr id="25" name="Frame2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Under the August 2026 Share Repurchase Program, the Company may repurchase shares from time to time through open market purchases, in privately negotiated transactions or by other means, including through the use of trading plans intended to qualify under Rule 10b5-1 under the Exchange Act, in accordance with applicable securities laws and other restrictions, including Rule 10b-18 under the Exchange Act. The timing and total amount of any stock repurchases will be determined at management's discretion and depend upon business, economic and market conditions, corporate and regulatory requirements, prevailing stock prices and other considerations. The execution of the repurchase program will be consistent with the Company's capital allocation strategy, which prioritizes investments to grow the business. The share repurchase program has no termination date, and does not obligate Marqeta to acquire a specific number of shares of Class A common stock and may be canceled or suspended at any time without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2425"/>
                <wp:effectExtent l="0" t="0" r="0" b="0"/>
                <wp:wrapNone/>
                <wp:docPr id="26" name="Frame2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2. Management's Discussion and Analysis of Financial Condition and Results of Operations</w:t>
      </w:r>
    </w:p>
    <w:p>
      <w:pPr>
        <w:pStyle w:val="TextBody"/>
        <w:bidi w:val="0"/>
        <w:spacing w:lineRule="auto" w:line="288" w:before="120" w:after="283"/>
        <w:jc w:val="both"/>
        <w:rPr>
          <w:rFonts w:ascii="Open Sans;sans-serif" w:hAnsi="Open Sans;sans-serif"/>
          <w:b w:val="false"/>
          <w:i/>
          <w:color w:val="000000"/>
          <w:sz w:val="20"/>
        </w:rPr>
      </w:pPr>
      <w:r>
        <w:rPr>
          <w:rFonts w:ascii="Open Sans;sans-serif" w:hAnsi="Open Sans;sans-serif"/>
          <w:b w:val="false"/>
          <w:i/>
          <w:color w:val="000000"/>
          <w:sz w:val="20"/>
        </w:rPr>
        <w:t>You should read the following discussion and analysis of our financial condition and results of operations together with our Condensed Consolidated Financial Statements and the related notes included elsewhere in this Quarterly Report on Form 10-Q and in our 2025 Annual Report. This discussion contains forward-looking statements based upon current expectations that involve risks and uncertainties. As discussed in the section titled “Note About Forward Looking Statements”, our actual results may differ materially from those discussed in these forward-looking statements as a result of various factors, including those set forth or incorporated by reference under the section titled “Risk Factors” in this Quarterly Report on Form 10-Q and in our 2025 Annual Report.</w:t>
      </w:r>
    </w:p>
    <w:p>
      <w:pPr>
        <w:pStyle w:val="TextBody"/>
        <w:bidi w:val="0"/>
        <w:spacing w:lineRule="auto" w:line="288" w:before="120" w:after="283"/>
        <w:ind w:left="0" w:right="0" w:firstLine="720"/>
        <w:jc w:val="center"/>
        <w:rPr>
          <w:rFonts w:ascii="Open Sans;sans-serif" w:hAnsi="Open Sans;sans-serif"/>
          <w:b/>
          <w:color w:val="000000"/>
          <w:sz w:val="20"/>
        </w:rPr>
      </w:pPr>
      <w:r>
        <w:rPr>
          <w:rFonts w:ascii="Open Sans;sans-serif" w:hAnsi="Open Sans;sans-serif"/>
          <w:b/>
          <w:color w:val="000000"/>
          <w:sz w:val="20"/>
        </w:rPr>
        <w:t>Overview</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Marqeta’s mission is modernizing financial services by making the entire payment experience native and delightful. Marqeta’s modern platform empowers our customers to create customized and innovative payment card programs with configurability and flexibility. Marqeta’s open APIs provide instant access to highly scalable, cloud-based payment infrastructure that enables customers to embed the payments experience into apps or websites for a personalized user experience. Customers can launch and manage their own card programs, issue cards, and authorize and settle payment transactions quickly using our platform. We also deliver robust bank, network, and card program management and value added services, allowing our customers to embed Marqeta in their offering without having to build certain complex compliance elements or customer support services.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Marqeta’s innovative products are developed with deep domain expertise and a customer-first mindset to launch, scale, and manage card programs. Marqeta provides the following offerings based on a customer’s desired level of control and responsibility: </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Processing: Marqeta provides all of its customers with issuer processor services as our core offering. Payment processing provides customers with access to the Marqeta dashboard via our APIs and webhooks, our JIT Funding feature, and assists with certain configuration elements that enable customers to use the platform independently.</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Bank and Network Management: Marqeta provides a service option to connect customers to an Issuing Bank partner to act as the BIN sponsor for the customer’s card program, define and manage a number of the primary tasks related to launching a card program, and can provide a full range of services including configuring many of the critical resources required by a customer’s production environment and managing the applicable regulations and the Issuing Bank. In addition, Marqeta provides another service offering to manage compliance with applicable Card Network rules.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 xml:space="preserve">Program Management: Marqeta provides additional program management services that are required as part of a card program, including chargebacks and dispute resolution, reconciliation, and card fulfillment. </w:t>
      </w:r>
    </w:p>
    <w:p>
      <w:pPr>
        <w:pStyle w:val="TextBody"/>
        <w:bidi w:val="0"/>
        <w:spacing w:lineRule="auto" w:line="288" w:before="120" w:after="60"/>
        <w:ind w:left="0" w:right="0" w:hanging="360"/>
        <w:jc w:val="both"/>
        <w:rPr/>
      </w:pPr>
      <w:r>
        <w:rPr>
          <w:color w:val="000000"/>
        </w:rPr>
        <w:t>•</w:t>
      </w:r>
      <w:r>
        <w:rPr>
          <w:rFonts w:ascii="Open Sans;sans-serif" w:hAnsi="Open Sans;sans-serif"/>
          <w:b w:val="false"/>
          <w:color w:val="000000"/>
          <w:sz w:val="20"/>
        </w:rPr>
        <w:t>Value Added Services: Marqeta provides value added services that offer a more seamless experience for our customers, which include tokenization, real-time decisioning and fraud management, digital banking, and other customer experience services.</w:t>
      </w:r>
    </w:p>
    <w:p>
      <w:pPr>
        <w:pStyle w:val="TextBody"/>
        <w:bidi w:val="0"/>
        <w:spacing w:lineRule="auto" w:line="288" w:before="120" w:after="283"/>
        <w:ind w:left="0" w:right="0" w:firstLine="720"/>
        <w:jc w:val="center"/>
        <w:rPr>
          <w:rFonts w:ascii="Open Sans;sans-serif" w:hAnsi="Open Sans;sans-serif"/>
          <w:b/>
          <w:color w:val="000000"/>
          <w:sz w:val="20"/>
        </w:rPr>
      </w:pPr>
      <w:r>
        <w:rPr>
          <w:rFonts w:ascii="Open Sans;sans-serif" w:hAnsi="Open Sans;sans-serif"/>
          <w:b/>
          <w:color w:val="000000"/>
          <w:sz w:val="20"/>
        </w:rPr>
        <w:t>Impact of Macroeconomic Factors</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We are unable to predict the impact macroeconomic factors, including various geopolitical conflicts, uncertainty related to global elections, changes in inflation and interest rates, and uncertainty in global regulatory and economic conditions, including as a result of uncertainty in global trade from potential tariffs and counter tariffs, will have on our processing volumes, and on our future results of operations. A deterioration in macroeconomic conditions could increase the risk of lower consumer spending, including discretionary spending, consumer and merchant bankruptcy, insolvency, business failure, higher credit losses, foreign currency fluctuations, or other business interruption, which may adversely impact our business. We continue to monitor these situations and may take actions that alter our operations and business practices as may be required by federal, state, or local authorities or that we determine are in the best interests of our customers, vendors, and employees. See the section titled “Risk Factors” in this Quarterly Report on Form 10-Q and in our 2025 Annual Report for further discussion or incorporation by reference of the possible impact of these macroeconomic factors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2425"/>
                <wp:effectExtent l="0" t="0" r="0" b="0"/>
                <wp:wrapNone/>
                <wp:docPr id="27" name="Frame2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Key Operating Metric and Non-GAAP Financial Measures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review a number of operating and financial metrics, including the key operating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tbl>
      <w:tblPr>
        <w:tblW w:w="10205" w:type="dxa"/>
        <w:jc w:val="left"/>
        <w:tblInd w:w="0" w:type="dxa"/>
        <w:tblLayout w:type="fixed"/>
        <w:tblCellMar>
          <w:top w:w="28" w:type="dxa"/>
          <w:left w:w="28" w:type="dxa"/>
          <w:bottom w:w="28" w:type="dxa"/>
          <w:right w:w="28" w:type="dxa"/>
        </w:tblCellMar>
      </w:tblPr>
      <w:tblGrid>
        <w:gridCol w:w="1240"/>
        <w:gridCol w:w="1050"/>
        <w:gridCol w:w="1056"/>
        <w:gridCol w:w="226"/>
        <w:gridCol w:w="946"/>
        <w:gridCol w:w="286"/>
        <w:gridCol w:w="109"/>
        <w:gridCol w:w="109"/>
        <w:gridCol w:w="109"/>
        <w:gridCol w:w="226"/>
        <w:gridCol w:w="946"/>
        <w:gridCol w:w="286"/>
        <w:gridCol w:w="109"/>
        <w:gridCol w:w="109"/>
        <w:gridCol w:w="109"/>
        <w:gridCol w:w="226"/>
        <w:gridCol w:w="946"/>
        <w:gridCol w:w="286"/>
        <w:gridCol w:w="109"/>
        <w:gridCol w:w="109"/>
        <w:gridCol w:w="109"/>
        <w:gridCol w:w="226"/>
        <w:gridCol w:w="946"/>
        <w:gridCol w:w="332"/>
      </w:tblGrid>
      <w:tr>
        <w:trPr/>
        <w:tc>
          <w:tcPr>
            <w:tcW w:w="124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r>
      <w:tr>
        <w:trPr/>
        <w:tc>
          <w:tcPr>
            <w:tcW w:w="33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i/>
                <w:color w:val="000000"/>
                <w:sz w:val="20"/>
              </w:rPr>
            </w:pPr>
            <w:r>
              <w:rPr>
                <w:rFonts w:ascii="Open Sans;sans-serif" w:hAnsi="Open Sans;sans-serif"/>
                <w:b w:val="false"/>
                <w:i/>
                <w:color w:val="000000"/>
                <w:sz w:val="20"/>
              </w:rPr>
              <w:t>(dollars in thousands unless otherwise noted)</w:t>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Processing Volume (TPV) (in millions)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120,423 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91,386 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232,783 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175,857 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175,995 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150,392 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341,793 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289,465 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Gross profit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121,873 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104,061 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239,465 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202,740 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margin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 xml:space="preserve">Net income (loss)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7,567 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(647)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15,401 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(8,907)</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income (loss) margin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118,237 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113,289 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233,735 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230,506 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i/>
                <w:color w:val="000000"/>
                <w:sz w:val="20"/>
              </w:rPr>
            </w:pPr>
            <w:r>
              <w:rPr>
                <w:rFonts w:ascii="Open Sans;sans-serif" w:hAnsi="Open Sans;sans-serif"/>
                <w:b/>
                <w:i/>
                <w:color w:val="000000"/>
                <w:sz w:val="20"/>
              </w:rPr>
              <w:t>Non-GAAP Measures:</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Adjusted EBITDA</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37,420 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28,509 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70,757 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48,590 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EBITDA margin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Adjusted operating expenses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84,453 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75,552 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168,708 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154,150 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Open Sans;sans-serif" w:hAnsi="Open Sans;sans-serif"/>
          <w:b/>
          <w:i/>
          <w:color w:val="000000"/>
          <w:sz w:val="20"/>
        </w:rPr>
        <w:t>Total Processing Volume (“TPV”)</w:t>
      </w:r>
      <w:r>
        <w:rPr>
          <w:color w:val="000000"/>
        </w:rPr>
        <w:t xml:space="preserve"> </w:t>
      </w:r>
      <w:r>
        <w:rPr>
          <w:rFonts w:ascii="Open Sans;sans-serif" w:hAnsi="Open Sans;sans-serif"/>
          <w:b/>
          <w:color w:val="000000"/>
          <w:sz w:val="20"/>
        </w:rPr>
        <w:t xml:space="preserve">- </w:t>
      </w:r>
      <w:r>
        <w:rPr>
          <w:rFonts w:ascii="Open Sans;sans-serif" w:hAnsi="Open Sans;sans-serif"/>
          <w:b w:val="false"/>
          <w:color w:val="000000"/>
          <w:sz w:val="20"/>
        </w:rPr>
        <w:t>TPV represents the total dollar amount of payments processed through our platform, net of returns and chargebacks. We believe that TPV is a key operating metric and a principal indicator of the market adoption of our platform, growth of our brand, growth of our customers' businesses and scale of our business.</w:t>
      </w:r>
    </w:p>
    <w:p>
      <w:pPr>
        <w:pStyle w:val="TextBody"/>
        <w:bidi w:val="0"/>
        <w:spacing w:lineRule="auto" w:line="288" w:before="120" w:after="283"/>
        <w:jc w:val="both"/>
        <w:rPr/>
      </w:pPr>
      <w:r>
        <w:rPr>
          <w:rFonts w:ascii="Open Sans;sans-serif" w:hAnsi="Open Sans;sans-serif"/>
          <w:b/>
          <w:i/>
          <w:color w:val="000000"/>
          <w:sz w:val="20"/>
        </w:rPr>
        <w:t>Adjusted EBITDA</w:t>
      </w:r>
      <w:r>
        <w:rPr>
          <w:color w:val="000000"/>
        </w:rPr>
        <w:t xml:space="preserve"> </w:t>
      </w:r>
      <w:r>
        <w:rPr>
          <w:rFonts w:ascii="Open Sans;sans-serif" w:hAnsi="Open Sans;sans-serif"/>
          <w:b/>
          <w:color w:val="000000"/>
          <w:sz w:val="20"/>
        </w:rPr>
        <w:t xml:space="preserve">- </w:t>
      </w:r>
      <w:r>
        <w:rPr>
          <w:rFonts w:ascii="Open Sans;sans-serif" w:hAnsi="Open Sans;sans-serif"/>
          <w:b w:val="false"/>
          <w:color w:val="000000"/>
          <w:sz w:val="20"/>
        </w:rPr>
        <w:t>Adjusted EBITDA is a non-GAAP financial measure that is calculated as Net income (loss) adjusted, as applicable, to exclude depreciation and amortization; share-based compensation expense; payroll tax related to share-based compensation; restructuring and other one-time costs; acquisition related expenses which consist of due diligence costs, transaction costs and integration costs related to potential or successful acquisitions and cash and non-cash postcombination compensation expenses; non-recurring litigation expense; income tax expense; and other income, net, which consists primarily of interest income from our short-term investments and cash deposits, impairment of financial instruments and realized foreign currency gains and losses. We believe that Adjusted EBITDA is an important measure of operating performance because it allows management and our Board of Directors to evaluate and compare our core operating results, including our operating efficiencies, from period to period. Additionally, we utilize Adjusted EBITDA as an input into our calculation of our annual employee bonus plans and performance-based restricted stock units. See the section below titled “Use of Non-GAAP Financial Measures” for a discussion of the use of non-GAAP measures, a change in presentation, and a reconciliation of Net income (loss) to Adjusted EBITDA.</w:t>
      </w:r>
    </w:p>
    <w:p>
      <w:pPr>
        <w:pStyle w:val="TextBody"/>
        <w:bidi w:val="0"/>
        <w:spacing w:lineRule="auto" w:line="288" w:before="120" w:after="283"/>
        <w:jc w:val="both"/>
        <w:rPr/>
      </w:pPr>
      <w:r>
        <w:rPr>
          <w:rFonts w:ascii="Open Sans;sans-serif" w:hAnsi="Open Sans;sans-serif"/>
          <w:b/>
          <w:i/>
          <w:color w:val="000000"/>
          <w:sz w:val="20"/>
        </w:rPr>
        <w:t>Adjusted EBITDA Margi</w:t>
      </w:r>
      <w:r>
        <w:rPr>
          <w:rFonts w:ascii="Open Sans;sans-serif" w:hAnsi="Open Sans;sans-serif"/>
          <w:b/>
          <w:color w:val="000000"/>
          <w:sz w:val="20"/>
        </w:rPr>
        <w:t xml:space="preserve">n - </w:t>
      </w:r>
      <w:r>
        <w:rPr>
          <w:rFonts w:ascii="Open Sans;sans-serif" w:hAnsi="Open Sans;sans-serif"/>
          <w:b w:val="false"/>
          <w:color w:val="000000"/>
          <w:sz w:val="20"/>
        </w:rPr>
        <w:t>Adjusted EBITDA Margin is a non-GAAP financial measure that is calculated as Adjusted EBITDA divided by Net revenue. This measure is used by management and our Board of Directors to evaluate our operating efficiency. See the section below titled “Use of Non-GAAP Financial Measures” for a discussion of the use of non-GAAP measures and a reconciliation of Net income (loss) to Adjusted EBITDA Margin.</w:t>
      </w:r>
    </w:p>
    <w:p>
      <w:pPr>
        <w:pStyle w:val="TextBody"/>
        <w:bidi w:val="0"/>
        <w:spacing w:lineRule="auto" w:line="288" w:before="120" w:after="283"/>
        <w:jc w:val="both"/>
        <w:rPr/>
      </w:pPr>
      <w:r>
        <w:rPr>
          <w:rFonts w:ascii="Open Sans;sans-serif" w:hAnsi="Open Sans;sans-serif"/>
          <w:b/>
          <w:i/>
          <w:color w:val="000000"/>
          <w:sz w:val="20"/>
        </w:rPr>
        <w:t>Adjusted Operating Expenses</w:t>
      </w:r>
      <w:r>
        <w:rPr>
          <w:color w:val="000000"/>
        </w:rPr>
        <w:t xml:space="preserve"> </w:t>
      </w:r>
      <w:r>
        <w:rPr>
          <w:rFonts w:ascii="Open Sans;sans-serif" w:hAnsi="Open Sans;sans-serif"/>
          <w:b/>
          <w:color w:val="000000"/>
          <w:sz w:val="20"/>
        </w:rPr>
        <w:t xml:space="preserve">- </w:t>
      </w:r>
      <w:r>
        <w:rPr>
          <w:rFonts w:ascii="Open Sans;sans-serif" w:hAnsi="Open Sans;sans-serif"/>
          <w:b w:val="false"/>
          <w:color w:val="000000"/>
          <w:sz w:val="20"/>
        </w:rPr>
        <w:t xml:space="preserve">Adjusted operating expenses is a non-GAAP financial measure that is calculated as Total operating expenses adjusted, as applicable, to exclude depreciation and amortization; share-based compensation expense; payroll tax related to share-based compensation; restructuring and other one-time costs; non-recurring litigation expense; and acquisition-related expenses which consists of due diligence costs, transaction cost and integration costs related to potential or successful acquisitions, and cash and non-cash postcombination compensation expenses. We believe that adjusted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2425"/>
                <wp:effectExtent l="0" t="0" r="0" b="0"/>
                <wp:wrapNone/>
                <wp:docPr id="28" name="Frame2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expenses is an important measure of operating performance because it allows management and our Board of Directors to evaluate and compare our core operating results, including our operating efficiencies, from period to period. See the section below titled “Use of Non-GAAP Financial Measures” for a discussion of the use of non-GAAP measures, a change in presentation, and a reconciliation of total operating expenses to adjusted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Components of Results of Operations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Net Revenue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have two components of net revenue: platform services revenue, net and other services revenue.</w:t>
      </w:r>
    </w:p>
    <w:p>
      <w:pPr>
        <w:pStyle w:val="TextBody"/>
        <w:bidi w:val="0"/>
        <w:spacing w:lineRule="auto" w:line="288" w:before="120" w:after="283"/>
        <w:jc w:val="both"/>
        <w:rPr/>
      </w:pPr>
      <w:r>
        <w:rPr>
          <w:rFonts w:ascii="Open Sans;sans-serif" w:hAnsi="Open Sans;sans-serif"/>
          <w:b w:val="false"/>
          <w:i/>
          <w:color w:val="000000"/>
          <w:sz w:val="20"/>
        </w:rPr>
        <w:t>Platform services revenue, net</w:t>
      </w:r>
      <w:r>
        <w:rPr>
          <w:rFonts w:ascii="Open Sans;sans-serif" w:hAnsi="Open Sans;sans-serif"/>
          <w:b w:val="false"/>
          <w:color w:val="000000"/>
          <w:sz w:val="20"/>
        </w:rPr>
        <w:t>.</w:t>
      </w:r>
      <w:r>
        <w:rPr>
          <w:color w:val="000000"/>
        </w:rPr>
        <w:t xml:space="preserve"> </w:t>
      </w:r>
      <w:r>
        <w:rPr>
          <w:rFonts w:ascii="Open Sans;sans-serif" w:hAnsi="Open Sans;sans-serif"/>
          <w:b w:val="false"/>
          <w:color w:val="000000"/>
          <w:sz w:val="20"/>
        </w:rPr>
        <w:t>Platform services revenue includes Interchange Fees, net of Revenue Share and other service-level payments to customers, and Card Network and Issuing Bank costs for certain customer arrangements where the Company is an agent in the delivery of services to the customer. Platform services revenue also includes processing and other fees, including value added services. “Interchange Fees” are transaction-based and volume-based fees set by a Card Network and paid by a merchant bank to the Issuing Bank that issued the payment card used to purchase goods or services from a merchant. We earn Interchange Fees on card transactions we process for our customers and the fees are based on a percentage of the transaction amount plus a fixed amount per transaction. Interchange Fees are recognized when the associated transactions are settled.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Revenue Share payments are incentives to our customers to increase their processing volumes on our platform. Revenue Share is generally computed as a percentage of the Interchange Fees earned or processing volume and is paid to our customers monthly. Revenue Share payments are recorded as a reduction to net revenue. Generally, as customers' processing volumes increase, the rates at which we share revenue increase.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Processing and other fees are priced as either a percentage of processing volume or on a fee per transaction basis and are earned, for example, when payment cards are used at automated teller machines or to make cross-border purchases. Minimum processing fees, where customers' processing volumes fall below certain thresholds, as well as transaction fees for utilizing other value-added services and program management features, are also included in processing and other fees.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We recognize revenue when the promised services are complete, and our performance obligations are satisfied. Platform services are considered complete when we have authorized the transaction, validated that the transaction has no errors, and accepted and posted the data to our records. </w:t>
      </w:r>
    </w:p>
    <w:p>
      <w:pPr>
        <w:pStyle w:val="TextBody"/>
        <w:bidi w:val="0"/>
        <w:spacing w:lineRule="auto" w:line="288" w:before="120" w:after="283"/>
        <w:jc w:val="both"/>
        <w:rPr/>
      </w:pPr>
      <w:r>
        <w:rPr>
          <w:rFonts w:ascii="Open Sans;sans-serif" w:hAnsi="Open Sans;sans-serif"/>
          <w:b w:val="false"/>
          <w:i/>
          <w:color w:val="000000"/>
          <w:sz w:val="20"/>
        </w:rPr>
        <w:t>Other services revenue.</w:t>
      </w:r>
      <w:r>
        <w:rPr>
          <w:color w:val="000000"/>
        </w:rPr>
        <w:t xml:space="preserve"> </w:t>
      </w:r>
      <w:r>
        <w:rPr>
          <w:rFonts w:ascii="Open Sans;sans-serif" w:hAnsi="Open Sans;sans-serif"/>
          <w:b w:val="false"/>
          <w:color w:val="000000"/>
          <w:sz w:val="20"/>
        </w:rPr>
        <w:t xml:space="preserve">Other services revenue primarily consists of revenue earned for card fulfillment services. Card fulfillment fees are generally billed to customers upon ordering card inventory and recognized as revenue when the cards are shipped to the customers. </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Costs of Revenue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Costs of revenue consist of Card Network fees, Issuing Bank fees, and card fulfillment costs for customer arrangements where we are the principal in providing services to the customer and excludes depreciation and amortization, which is reported separately within the Condensed Consolidated Statements of Operations and Comprehensive Income (Loss). Card Network fees are equal to a specified percentage of processing volume or a fixed amount per transaction routed through the respective Card Network. Issuing Bank fees compensate our Issuing Banks for issuing cards to our customers and sponsoring our card programs with the Card Networks and are typically equal to a specified percentage of processing volume or a fixed amount per transaction. Card fulfillment costs include physical cards, packaging, and other fulfillment costs.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We have marketing and incentive arrangements with Card Networks, that provide us with monetary incentives for establishing customer card programs with and routing transaction volume through the respective Card Networks. These incentives are typically calculated as a percentage of the processed transaction volume or the number of transactions routed through the Card Network. We account for these incentives as a reduction of Card Network fees within Costs of Revenue in customer arrangements where we act as the principal. As processing volumes increase, we earn a higher cumulative incentive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2425"/>
                <wp:effectExtent l="0" t="0" r="0" b="0"/>
                <wp:wrapNone/>
                <wp:docPr id="29" name="Frame2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subject to achieving specific cumulative volume thresholds within an annual measurement period. For certain incentive arrangements, the annual measurement period may not align with our fiscal year.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We estimate and recognize network incentives based on the cumulative incentive rate we expect to earn over the annual measurement period. We estimate the cumulative incentive rates based on our forecasts for the annual measurement periods, which incorporates both historical experience and our expectations of future events, in addition to other qualitative considerations. The estimated cumulative incentive rates are applied to the volume and/or number of transactions processed during the reporting period to calculate the quarterly network incentives recognized.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Operating Expenses</w:t>
      </w:r>
    </w:p>
    <w:p>
      <w:pPr>
        <w:pStyle w:val="TextBody"/>
        <w:bidi w:val="0"/>
        <w:spacing w:lineRule="auto" w:line="288" w:before="120" w:after="283"/>
        <w:jc w:val="both"/>
        <w:rPr/>
      </w:pPr>
      <w:r>
        <w:rPr>
          <w:rFonts w:ascii="Open Sans;sans-serif" w:hAnsi="Open Sans;sans-serif"/>
          <w:b w:val="false"/>
          <w:i/>
          <w:color w:val="000000"/>
          <w:sz w:val="20"/>
        </w:rPr>
        <w:t xml:space="preserve">Compensation and Benefits. </w:t>
      </w:r>
      <w:r>
        <w:rPr>
          <w:rFonts w:ascii="Open Sans;sans-serif" w:hAnsi="Open Sans;sans-serif"/>
          <w:b w:val="false"/>
          <w:color w:val="000000"/>
          <w:sz w:val="20"/>
        </w:rPr>
        <w:t>Compensation and benefits consist primarily of salaries, employee benefits, severance and other termination benefits, incentive compensation, contractors’ cost, and share-based compensation.</w:t>
      </w:r>
    </w:p>
    <w:p>
      <w:pPr>
        <w:pStyle w:val="TextBody"/>
        <w:bidi w:val="0"/>
        <w:spacing w:lineRule="auto" w:line="288" w:before="120" w:after="283"/>
        <w:jc w:val="both"/>
        <w:rPr/>
      </w:pPr>
      <w:r>
        <w:rPr>
          <w:rFonts w:ascii="Open Sans;sans-serif" w:hAnsi="Open Sans;sans-serif"/>
          <w:b w:val="false"/>
          <w:i/>
          <w:color w:val="000000"/>
          <w:sz w:val="20"/>
        </w:rPr>
        <w:t xml:space="preserve">Technology. </w:t>
      </w:r>
      <w:r>
        <w:rPr>
          <w:rFonts w:ascii="Open Sans;sans-serif" w:hAnsi="Open Sans;sans-serif"/>
          <w:b w:val="false"/>
          <w:color w:val="000000"/>
          <w:sz w:val="20"/>
        </w:rPr>
        <w:t>Technology</w:t>
      </w:r>
      <w:r>
        <w:rPr>
          <w:color w:val="000000"/>
        </w:rPr>
        <w:t xml:space="preserve"> </w:t>
      </w:r>
      <w:r>
        <w:rPr>
          <w:rFonts w:ascii="Open Sans;sans-serif" w:hAnsi="Open Sans;sans-serif"/>
          <w:b w:val="false"/>
          <w:color w:val="000000"/>
          <w:sz w:val="20"/>
        </w:rPr>
        <w:t>consists primarily of third-party hosting fees, software licenses, and hardware purchases below our capitalization threshold, and support and maintenance costs.</w:t>
      </w:r>
    </w:p>
    <w:p>
      <w:pPr>
        <w:pStyle w:val="TextBody"/>
        <w:bidi w:val="0"/>
        <w:spacing w:lineRule="auto" w:line="288" w:before="120" w:after="283"/>
        <w:jc w:val="both"/>
        <w:rPr/>
      </w:pPr>
      <w:r>
        <w:rPr>
          <w:rFonts w:ascii="Open Sans;sans-serif" w:hAnsi="Open Sans;sans-serif"/>
          <w:b w:val="false"/>
          <w:i/>
          <w:color w:val="000000"/>
          <w:sz w:val="20"/>
        </w:rPr>
        <w:t xml:space="preserve">Professional Services. </w:t>
      </w:r>
      <w:r>
        <w:rPr>
          <w:rFonts w:ascii="Open Sans;sans-serif" w:hAnsi="Open Sans;sans-serif"/>
          <w:b w:val="false"/>
          <w:color w:val="000000"/>
          <w:sz w:val="20"/>
        </w:rPr>
        <w:t>Professional services consist primarily of consulting, legal, audit, and recruiting fees.</w:t>
      </w:r>
    </w:p>
    <w:p>
      <w:pPr>
        <w:pStyle w:val="TextBody"/>
        <w:bidi w:val="0"/>
        <w:spacing w:lineRule="auto" w:line="288" w:before="120" w:after="283"/>
        <w:jc w:val="both"/>
        <w:rPr/>
      </w:pPr>
      <w:r>
        <w:rPr>
          <w:rFonts w:ascii="Open Sans;sans-serif" w:hAnsi="Open Sans;sans-serif"/>
          <w:b w:val="false"/>
          <w:i/>
          <w:color w:val="000000"/>
          <w:sz w:val="20"/>
        </w:rPr>
        <w:t xml:space="preserve">Occupancy. </w:t>
      </w:r>
      <w:r>
        <w:rPr>
          <w:rFonts w:ascii="Open Sans;sans-serif" w:hAnsi="Open Sans;sans-serif"/>
          <w:b w:val="false"/>
          <w:color w:val="000000"/>
          <w:sz w:val="20"/>
        </w:rPr>
        <w:t>Occupancy</w:t>
      </w:r>
      <w:r>
        <w:rPr>
          <w:color w:val="000000"/>
        </w:rPr>
        <w:t xml:space="preserve"> </w:t>
      </w:r>
      <w:r>
        <w:rPr>
          <w:rFonts w:ascii="Open Sans;sans-serif" w:hAnsi="Open Sans;sans-serif"/>
          <w:b w:val="false"/>
          <w:color w:val="000000"/>
          <w:sz w:val="20"/>
        </w:rPr>
        <w:t>consists primarily of rent expense, repairs, maintenance, and other building related costs.</w:t>
      </w:r>
    </w:p>
    <w:p>
      <w:pPr>
        <w:pStyle w:val="TextBody"/>
        <w:bidi w:val="0"/>
        <w:spacing w:lineRule="auto" w:line="288" w:before="120" w:after="283"/>
        <w:jc w:val="both"/>
        <w:rPr/>
      </w:pPr>
      <w:r>
        <w:rPr>
          <w:rFonts w:ascii="Open Sans;sans-serif" w:hAnsi="Open Sans;sans-serif"/>
          <w:b w:val="false"/>
          <w:i/>
          <w:color w:val="000000"/>
          <w:sz w:val="20"/>
        </w:rPr>
        <w:t xml:space="preserve">Depreciation and Amortization. </w:t>
      </w:r>
      <w:r>
        <w:rPr>
          <w:rFonts w:ascii="Open Sans;sans-serif" w:hAnsi="Open Sans;sans-serif"/>
          <w:b w:val="false"/>
          <w:color w:val="000000"/>
          <w:sz w:val="20"/>
        </w:rPr>
        <w:t>Depreciation and amortization</w:t>
      </w:r>
      <w:r>
        <w:rPr>
          <w:color w:val="000000"/>
        </w:rPr>
        <w:t xml:space="preserve"> </w:t>
      </w:r>
      <w:r>
        <w:rPr>
          <w:rFonts w:ascii="Open Sans;sans-serif" w:hAnsi="Open Sans;sans-serif"/>
          <w:b w:val="false"/>
          <w:color w:val="000000"/>
          <w:sz w:val="20"/>
        </w:rPr>
        <w:t>consist primarily of depreciation of our fixed assets and amortization of capitalized internal-use software and developed technology intangible assets.</w:t>
      </w:r>
    </w:p>
    <w:p>
      <w:pPr>
        <w:pStyle w:val="TextBody"/>
        <w:bidi w:val="0"/>
        <w:spacing w:lineRule="auto" w:line="288" w:before="120" w:after="283"/>
        <w:jc w:val="both"/>
        <w:rPr/>
      </w:pPr>
      <w:r>
        <w:rPr>
          <w:rFonts w:ascii="Open Sans;sans-serif" w:hAnsi="Open Sans;sans-serif"/>
          <w:b w:val="false"/>
          <w:i/>
          <w:color w:val="000000"/>
          <w:sz w:val="20"/>
        </w:rPr>
        <w:t xml:space="preserve">Marketing and Advertising. </w:t>
      </w:r>
      <w:r>
        <w:rPr>
          <w:rFonts w:ascii="Open Sans;sans-serif" w:hAnsi="Open Sans;sans-serif"/>
          <w:b w:val="false"/>
          <w:color w:val="000000"/>
          <w:sz w:val="20"/>
        </w:rPr>
        <w:t>Marketing and advertising</w:t>
      </w:r>
      <w:r>
        <w:rPr>
          <w:color w:val="000000"/>
        </w:rPr>
        <w:t xml:space="preserve"> </w:t>
      </w:r>
      <w:r>
        <w:rPr>
          <w:rFonts w:ascii="Open Sans;sans-serif" w:hAnsi="Open Sans;sans-serif"/>
          <w:b w:val="false"/>
          <w:color w:val="000000"/>
          <w:sz w:val="20"/>
        </w:rPr>
        <w:t>consist primarily of costs of general marketing and promotional activities.</w:t>
      </w:r>
      <w:r>
        <w:rPr>
          <w:color w:val="000000"/>
        </w:rPr>
        <w:t xml:space="preserve"> </w:t>
      </w:r>
    </w:p>
    <w:p>
      <w:pPr>
        <w:pStyle w:val="TextBody"/>
        <w:bidi w:val="0"/>
        <w:spacing w:lineRule="auto" w:line="288" w:before="120" w:after="283"/>
        <w:jc w:val="both"/>
        <w:rPr/>
      </w:pPr>
      <w:r>
        <w:rPr>
          <w:rFonts w:ascii="Open Sans;sans-serif" w:hAnsi="Open Sans;sans-serif"/>
          <w:b w:val="false"/>
          <w:i/>
          <w:color w:val="000000"/>
          <w:sz w:val="20"/>
        </w:rPr>
        <w:t xml:space="preserve">Other Operating Expenses. </w:t>
      </w:r>
      <w:r>
        <w:rPr>
          <w:rFonts w:ascii="Open Sans;sans-serif" w:hAnsi="Open Sans;sans-serif"/>
          <w:b w:val="false"/>
          <w:color w:val="000000"/>
          <w:sz w:val="20"/>
        </w:rPr>
        <w:t>Other operating expenses consist primarily of insurance costs, indemnification costs, travel-related expenses, indirect state and local taxes, and other general office expenses.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Other Income, net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Other income, net consists primarily of interest income from our short-term investments and cash deposits, and realized foreign currency gains and losses.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Income Tax Expense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Income tax expense consists of U.S. federal and state income taxes, and income taxes related to certain foreign jurisdictions. We maintain a full valuation allowance against our U.S. federal and state net deferred tax assets as we have concluded that it is not more likely than not that we will realize our net deferred tax assets.</w:t>
      </w:r>
    </w:p>
    <w:p>
      <w:pPr>
        <w:pStyle w:val="TextBody"/>
        <w:bidi w:val="0"/>
        <w:spacing w:before="120" w:after="283"/>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2425"/>
                <wp:effectExtent l="0" t="0" r="0" b="0"/>
                <wp:wrapNone/>
                <wp:docPr id="30" name="Frame3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 xml:space="preserve">Results of Operations </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The following table sets forth our results of operations for the periods presented:</w:t>
      </w:r>
    </w:p>
    <w:tbl>
      <w:tblPr>
        <w:tblW w:w="10205" w:type="dxa"/>
        <w:jc w:val="left"/>
        <w:tblInd w:w="0" w:type="dxa"/>
        <w:tblLayout w:type="fixed"/>
        <w:tblCellMar>
          <w:top w:w="28" w:type="dxa"/>
          <w:left w:w="28" w:type="dxa"/>
          <w:bottom w:w="28" w:type="dxa"/>
          <w:right w:w="28" w:type="dxa"/>
        </w:tblCellMar>
      </w:tblPr>
      <w:tblGrid>
        <w:gridCol w:w="1386"/>
        <w:gridCol w:w="1178"/>
        <w:gridCol w:w="1163"/>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5"/>
      </w:tblGrid>
      <w:tr>
        <w:trPr/>
        <w:tc>
          <w:tcPr>
            <w:tcW w:w="138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r>
      <w:tr>
        <w:trPr/>
        <w:tc>
          <w:tcPr>
            <w:tcW w:w="3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r>
      <w:tr>
        <w:trPr/>
        <w:tc>
          <w:tcPr>
            <w:tcW w:w="37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175,995 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150,392 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341,793 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289,465 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Costs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86,725 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121,873 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104,061 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239,465 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202,740 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156,280 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167,459 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30,913 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11,984 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9,914 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Marketing and 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7,296 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118,237 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113,289 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233,735 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230,506 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(9,228)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5,730 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(27,766)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19,300 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Income (loss)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8,072 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16,099 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(8,466)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7,567 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(647)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15,401 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(8,907)</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2425"/>
                <wp:effectExtent l="0" t="0" r="0" b="0"/>
                <wp:wrapNone/>
                <wp:docPr id="31" name="Frame3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Comparison of the Three Months Ended June 30, 2026 and 2025</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Net Revenue</w:t>
      </w:r>
    </w:p>
    <w:tbl>
      <w:tblPr>
        <w:tblW w:w="10205" w:type="dxa"/>
        <w:jc w:val="left"/>
        <w:tblInd w:w="0" w:type="dxa"/>
        <w:tblLayout w:type="fixed"/>
        <w:tblCellMar>
          <w:top w:w="28" w:type="dxa"/>
          <w:left w:w="28" w:type="dxa"/>
          <w:bottom w:w="28" w:type="dxa"/>
          <w:right w:w="28" w:type="dxa"/>
        </w:tblCellMar>
      </w:tblPr>
      <w:tblGrid>
        <w:gridCol w:w="1386"/>
        <w:gridCol w:w="1187"/>
        <w:gridCol w:w="1196"/>
        <w:gridCol w:w="109"/>
        <w:gridCol w:w="109"/>
        <w:gridCol w:w="109"/>
        <w:gridCol w:w="448"/>
        <w:gridCol w:w="443"/>
        <w:gridCol w:w="443"/>
        <w:gridCol w:w="208"/>
        <w:gridCol w:w="208"/>
        <w:gridCol w:w="208"/>
        <w:gridCol w:w="448"/>
        <w:gridCol w:w="443"/>
        <w:gridCol w:w="443"/>
        <w:gridCol w:w="109"/>
        <w:gridCol w:w="109"/>
        <w:gridCol w:w="109"/>
        <w:gridCol w:w="226"/>
        <w:gridCol w:w="826"/>
        <w:gridCol w:w="109"/>
        <w:gridCol w:w="109"/>
        <w:gridCol w:w="109"/>
        <w:gridCol w:w="109"/>
        <w:gridCol w:w="203"/>
        <w:gridCol w:w="203"/>
        <w:gridCol w:w="596"/>
      </w:tblGrid>
      <w:tr>
        <w:trPr/>
        <w:tc>
          <w:tcPr>
            <w:tcW w:w="13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37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3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platform services,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163,682</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143,135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14 </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12,313</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70 </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175,995</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150,392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25,603 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17 </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Processing Volume (TPV)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120,423</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91,386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32 </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bl>
    <w:p>
      <w:pPr>
        <w:pStyle w:val="TextBody"/>
        <w:bidi w:val="0"/>
        <w:spacing w:lineRule="auto" w:line="288" w:before="120" w:after="283"/>
        <w:jc w:val="both"/>
        <w:rPr/>
      </w:pPr>
      <w:r>
        <w:rPr>
          <w:rFonts w:ascii="Open Sans;sans-serif" w:hAnsi="Open Sans;sans-serif"/>
          <w:b w:val="false"/>
          <w:color w:val="000000"/>
          <w:sz w:val="20"/>
        </w:rPr>
        <w:t>Total platform services, net revenue increased by $20.5 million, or 14%, for the three months ended June 30, 2026, compared to the same period in 2025. The overall increase</w:t>
      </w:r>
      <w:r>
        <w:rPr>
          <w:color w:val="000000"/>
        </w:rPr>
        <w:t xml:space="preserve"> </w:t>
      </w:r>
      <w:r>
        <w:rPr>
          <w:rFonts w:ascii="Open Sans;sans-serif" w:hAnsi="Open Sans;sans-serif"/>
          <w:b w:val="false"/>
          <w:color w:val="000000"/>
          <w:sz w:val="20"/>
        </w:rPr>
        <w:t>in platform services revenue was primarily driven by a 32% increase in TPV, partially offset by unfavorable shifts in our card program mix, particularly the expansion of programs where we provide processing services with minimal or no program management.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Other services revenue increased by $5.1 million, or 70%, for the three months ended June 30, 2026, compared to the same period in 2025, primarily driven by higher card-related fulfillment, including card replacements and increased customer card shipments.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increase in TPV was driven by strong performance across all our major use cases, particularly financial services, lending including buy-now-pay later, and expense management. TPV for our top five customers, based on their individual processing volumes in each respective period, increased 26%, in the three months ended June 30, 2026, compared to the same period in 2025 while TPV from all other customers, as a group, grew 49%, over the same period. Note that the composition of the top five customers may differ between the two periods.</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Costs of Revenue and Gross Margin</w:t>
      </w:r>
    </w:p>
    <w:tbl>
      <w:tblPr>
        <w:tblW w:w="8559" w:type="dxa"/>
        <w:jc w:val="left"/>
        <w:tblInd w:w="0" w:type="dxa"/>
        <w:tblLayout w:type="fixed"/>
        <w:tblCellMar>
          <w:top w:w="28" w:type="dxa"/>
          <w:left w:w="28" w:type="dxa"/>
          <w:bottom w:w="28" w:type="dxa"/>
          <w:right w:w="28" w:type="dxa"/>
        </w:tblCellMar>
      </w:tblPr>
      <w:tblGrid>
        <w:gridCol w:w="859"/>
        <w:gridCol w:w="753"/>
        <w:gridCol w:w="758"/>
        <w:gridCol w:w="109"/>
        <w:gridCol w:w="109"/>
        <w:gridCol w:w="109"/>
        <w:gridCol w:w="371"/>
        <w:gridCol w:w="244"/>
        <w:gridCol w:w="642"/>
        <w:gridCol w:w="179"/>
        <w:gridCol w:w="179"/>
        <w:gridCol w:w="179"/>
        <w:gridCol w:w="371"/>
        <w:gridCol w:w="244"/>
        <w:gridCol w:w="642"/>
        <w:gridCol w:w="109"/>
        <w:gridCol w:w="109"/>
        <w:gridCol w:w="109"/>
        <w:gridCol w:w="226"/>
        <w:gridCol w:w="826"/>
        <w:gridCol w:w="109"/>
        <w:gridCol w:w="109"/>
        <w:gridCol w:w="109"/>
        <w:gridCol w:w="109"/>
        <w:gridCol w:w="203"/>
        <w:gridCol w:w="203"/>
        <w:gridCol w:w="59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23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Card Network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41,765</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36,273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Issuing Bank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4,981</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7,376</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54,122</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7,791 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121,873</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104,061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69 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69 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Costs of revenue increased by $7.8 million, or 17%, for the three months ended June 30, 2026, compared to the same period in 2025. This increase was primarily driven by higher Card Network and Issuing Bank fees associated with the increase in TPV. In addition, we recognized higher costs related to card-related fulfillment, including card replacements and increased customer card shipments.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the increase in costs of revenue was outpaced by the net revenue growth discussed above, gross profit increased by $17.8 million, or 17%, while gross margin remained flat for the three months ended June 30, 2026, compared to the same period in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2425"/>
                <wp:effectExtent l="0" t="0" r="0" b="0"/>
                <wp:wrapNone/>
                <wp:docPr id="32" name="Frame3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Operating Expenses</w:t>
      </w:r>
    </w:p>
    <w:tbl>
      <w:tblPr>
        <w:tblW w:w="10205" w:type="dxa"/>
        <w:jc w:val="left"/>
        <w:tblInd w:w="0" w:type="dxa"/>
        <w:tblLayout w:type="fixed"/>
        <w:tblCellMar>
          <w:top w:w="28" w:type="dxa"/>
          <w:left w:w="28" w:type="dxa"/>
          <w:bottom w:w="28" w:type="dxa"/>
          <w:right w:w="28" w:type="dxa"/>
        </w:tblCellMar>
      </w:tblPr>
      <w:tblGrid>
        <w:gridCol w:w="1503"/>
        <w:gridCol w:w="1293"/>
        <w:gridCol w:w="1302"/>
        <w:gridCol w:w="109"/>
        <w:gridCol w:w="109"/>
        <w:gridCol w:w="109"/>
        <w:gridCol w:w="226"/>
        <w:gridCol w:w="826"/>
        <w:gridCol w:w="286"/>
        <w:gridCol w:w="109"/>
        <w:gridCol w:w="109"/>
        <w:gridCol w:w="109"/>
        <w:gridCol w:w="226"/>
        <w:gridCol w:w="826"/>
        <w:gridCol w:w="286"/>
        <w:gridCol w:w="109"/>
        <w:gridCol w:w="109"/>
        <w:gridCol w:w="109"/>
        <w:gridCol w:w="226"/>
        <w:gridCol w:w="706"/>
        <w:gridCol w:w="109"/>
        <w:gridCol w:w="109"/>
        <w:gridCol w:w="109"/>
        <w:gridCol w:w="109"/>
        <w:gridCol w:w="244"/>
        <w:gridCol w:w="245"/>
        <w:gridCol w:w="593"/>
      </w:tblGrid>
      <w:tr>
        <w:trPr/>
        <w:tc>
          <w:tcPr>
            <w:tcW w:w="150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40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20"/>
              </w:rPr>
            </w:pPr>
            <w:r>
              <w:rPr>
                <w:rFonts w:ascii="Open Sans;sans-serif" w:hAnsi="Open Sans;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Salaries, bonus, benefits and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55,906 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54,339 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22,356 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27,070 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78,262 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81,409 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44 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54 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18,393 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16,102 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9,696 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6,653 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5,620 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Marketing and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73 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4,494 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118,237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113,289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4,948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4 </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 xml:space="preserve">Salaries, bonus, benefits, and payroll taxes increased by $1.6 million, or 3%, for the three months ended June 30, 2026, compared to the same period in 2025. This increase was primarily driven by a year-over-year increase in salaries, bonus, and contractor expenses as a result of an increase in headcount during the three months ended June 30, 2026, compared to the same period in 2025. The increase was partially offset by lower post-combination compensation expenses for former Power Finance employees, higher capitalized salaries, bonus, and benefits costs related to internal-use software development, and lower year-over-year severance and one-time retention bonuses awarded to certain key employees in the prior year.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Share-based compensation decreased by $4.7 million, or 17%, for the three months ended June 30, 2026, compared to the same period in 2025. This decrease was primarily driven by the full vesting of higher grant-date fair value awards issued in prior years. These older awards are being replaced by new awards granted in more recent periods that carry lower grant-date fair values.</w:t>
      </w:r>
    </w:p>
    <w:p>
      <w:pPr>
        <w:pStyle w:val="TextBody"/>
        <w:bidi w:val="0"/>
        <w:spacing w:lineRule="auto" w:line="288" w:before="120" w:after="283"/>
        <w:jc w:val="both"/>
        <w:rPr/>
      </w:pPr>
      <w:r>
        <w:rPr>
          <w:rFonts w:ascii="Open Sans;sans-serif" w:hAnsi="Open Sans;sans-serif"/>
          <w:b w:val="false"/>
          <w:color w:val="000000"/>
          <w:sz w:val="20"/>
        </w:rPr>
        <w:t>Technology expenses increased by $2.3 million</w:t>
      </w:r>
      <w:r>
        <w:rPr>
          <w:rFonts w:ascii="Times New Roman;serif" w:hAnsi="Times New Roman;serif"/>
          <w:b w:val="false"/>
          <w:color w:val="000000"/>
          <w:sz w:val="20"/>
        </w:rPr>
        <w:t xml:space="preserve">, </w:t>
      </w:r>
      <w:r>
        <w:rPr>
          <w:rFonts w:ascii="Open Sans;sans-serif" w:hAnsi="Open Sans;sans-serif"/>
          <w:b w:val="false"/>
          <w:color w:val="000000"/>
          <w:sz w:val="20"/>
        </w:rPr>
        <w:t>or 14%</w:t>
      </w:r>
      <w:r>
        <w:rPr>
          <w:rFonts w:ascii="Times New Roman;serif" w:hAnsi="Times New Roman;serif"/>
          <w:b w:val="false"/>
          <w:color w:val="000000"/>
          <w:sz w:val="20"/>
        </w:rPr>
        <w:t>,</w:t>
      </w:r>
      <w:r>
        <w:rPr>
          <w:color w:val="000000"/>
        </w:rPr>
        <w:t xml:space="preserve"> </w:t>
      </w:r>
      <w:r>
        <w:rPr>
          <w:rFonts w:ascii="Open Sans;sans-serif" w:hAnsi="Open Sans;sans-serif"/>
          <w:b w:val="false"/>
          <w:color w:val="000000"/>
          <w:sz w:val="20"/>
        </w:rPr>
        <w:t>for the three months ended June 30, 2026, compared to the same period in 2025. This increase was mainly driven by higher software licenses and hosting costs to support system and tool implementations amid ongoing business growth.</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Depreciation and amortization expense increased by $3.0 million, or 46%, for the three months ended June 30, 2026, compared to the same period in 2025. This increase was primarily driven by higher amortization of internally developed software as additional projects were capitalized and placed into service, as well as amortization of the customer relationships intangible asset acquired from TransactPay in the third quarter of 2025.</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Professional services expenses increased by $1.4 million, or 33%, for the three months ended June 30, 2026, compared to the same period in 2025 primarily driven by higher legal and professional fees. </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2425"/>
                <wp:effectExtent l="0" t="0" r="0" b="0"/>
                <wp:wrapNone/>
                <wp:docPr id="33" name="Frame3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Marketing and advertising expenses increased by $0.5 million, or 73%, for the three months ended June 30, 2026, compared to the same period in 2025, primarily due to increased spending on brand campaigns and continued investment in marketing and advertising initiatives.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Occupancy expense remained relatively flat for the three months ended June 30, 2026, compared to the same period in 2025.</w:t>
      </w:r>
    </w:p>
    <w:p>
      <w:pPr>
        <w:pStyle w:val="TextBody"/>
        <w:bidi w:val="0"/>
        <w:spacing w:lineRule="auto" w:line="288" w:before="120" w:after="120"/>
        <w:jc w:val="both"/>
        <w:rPr/>
      </w:pPr>
      <w:r>
        <w:rPr>
          <w:rFonts w:ascii="Open Sans;sans-serif" w:hAnsi="Open Sans;sans-serif"/>
          <w:b w:val="false"/>
          <w:color w:val="000000"/>
          <w:sz w:val="20"/>
        </w:rPr>
        <w:t>Other operating expenses increased by</w:t>
      </w:r>
      <w:r>
        <w:rPr>
          <w:color w:val="000000"/>
        </w:rPr>
        <w:t xml:space="preserve"> </w:t>
      </w:r>
      <w:r>
        <w:rPr>
          <w:rFonts w:ascii="Open Sans;sans-serif" w:hAnsi="Open Sans;sans-serif"/>
          <w:b w:val="false"/>
          <w:color w:val="000000"/>
          <w:sz w:val="20"/>
        </w:rPr>
        <w:t>$1.1 million, or 34%, for the three months ended June 30, 2026 compared to the same period in 2025. This increase was primarily due to a $0.7 million non-cash impairment charge related to certain internally developed software.</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Other Income, net</w:t>
      </w:r>
    </w:p>
    <w:tbl>
      <w:tblPr>
        <w:tblW w:w="8660" w:type="dxa"/>
        <w:jc w:val="left"/>
        <w:tblInd w:w="0" w:type="dxa"/>
        <w:tblLayout w:type="fixed"/>
        <w:tblCellMar>
          <w:top w:w="28" w:type="dxa"/>
          <w:left w:w="28" w:type="dxa"/>
          <w:bottom w:w="28" w:type="dxa"/>
          <w:right w:w="28" w:type="dxa"/>
        </w:tblCellMar>
      </w:tblPr>
      <w:tblGrid>
        <w:gridCol w:w="978"/>
        <w:gridCol w:w="858"/>
        <w:gridCol w:w="864"/>
        <w:gridCol w:w="109"/>
        <w:gridCol w:w="109"/>
        <w:gridCol w:w="109"/>
        <w:gridCol w:w="226"/>
        <w:gridCol w:w="706"/>
        <w:gridCol w:w="286"/>
        <w:gridCol w:w="109"/>
        <w:gridCol w:w="109"/>
        <w:gridCol w:w="109"/>
        <w:gridCol w:w="226"/>
        <w:gridCol w:w="706"/>
        <w:gridCol w:w="286"/>
        <w:gridCol w:w="109"/>
        <w:gridCol w:w="109"/>
        <w:gridCol w:w="109"/>
        <w:gridCol w:w="226"/>
        <w:gridCol w:w="796"/>
        <w:gridCol w:w="109"/>
        <w:gridCol w:w="109"/>
        <w:gridCol w:w="109"/>
        <w:gridCol w:w="109"/>
        <w:gridCol w:w="247"/>
        <w:gridCol w:w="248"/>
        <w:gridCol w:w="590"/>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27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4,436 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8,787 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(50)</w:t>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Percentage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Other income, net decreased by $4.4 million, or 50%, for the three months ended June 30, 2026, compared to the same period in 2025. This decrease was primarily driven by lower interest income from our short-term investment portfolio and cash balances, as average balances were lower due to share repurchases completed in 2025 and the first half of 2026. We also realized lower average yields during the second quarter of 2026 compared to the same period in 2025.</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Income Tax Expense</w:t>
      </w:r>
    </w:p>
    <w:tbl>
      <w:tblPr>
        <w:tblW w:w="7659" w:type="dxa"/>
        <w:jc w:val="left"/>
        <w:tblInd w:w="0" w:type="dxa"/>
        <w:tblLayout w:type="fixed"/>
        <w:tblCellMar>
          <w:top w:w="28" w:type="dxa"/>
          <w:left w:w="28" w:type="dxa"/>
          <w:bottom w:w="28" w:type="dxa"/>
          <w:right w:w="28" w:type="dxa"/>
        </w:tblCellMar>
      </w:tblPr>
      <w:tblGrid>
        <w:gridCol w:w="760"/>
        <w:gridCol w:w="667"/>
        <w:gridCol w:w="672"/>
        <w:gridCol w:w="109"/>
        <w:gridCol w:w="109"/>
        <w:gridCol w:w="109"/>
        <w:gridCol w:w="284"/>
        <w:gridCol w:w="662"/>
        <w:gridCol w:w="137"/>
        <w:gridCol w:w="137"/>
        <w:gridCol w:w="137"/>
        <w:gridCol w:w="137"/>
        <w:gridCol w:w="284"/>
        <w:gridCol w:w="662"/>
        <w:gridCol w:w="137"/>
        <w:gridCol w:w="109"/>
        <w:gridCol w:w="109"/>
        <w:gridCol w:w="109"/>
        <w:gridCol w:w="232"/>
        <w:gridCol w:w="541"/>
        <w:gridCol w:w="113"/>
        <w:gridCol w:w="109"/>
        <w:gridCol w:w="109"/>
        <w:gridCol w:w="109"/>
        <w:gridCol w:w="263"/>
        <w:gridCol w:w="263"/>
        <w:gridCol w:w="590"/>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20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505 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206 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299 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145 </w:t>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bl>
    <w:p>
      <w:pPr>
        <w:pStyle w:val="TextBody"/>
        <w:bidi w:val="0"/>
        <w:spacing w:lineRule="auto" w:line="288" w:before="180" w:after="283"/>
        <w:jc w:val="both"/>
        <w:rPr/>
      </w:pPr>
      <w:r>
        <w:rPr>
          <w:rFonts w:ascii="Open Sans;sans-serif" w:hAnsi="Open Sans;sans-serif"/>
          <w:b w:val="false"/>
          <w:color w:val="000000"/>
          <w:sz w:val="20"/>
        </w:rPr>
        <w:t>Income tax expense increased</w:t>
      </w:r>
      <w:r>
        <w:rPr>
          <w:color w:val="000000"/>
        </w:rPr>
        <w:t xml:space="preserve"> </w:t>
      </w:r>
      <w:r>
        <w:rPr>
          <w:rFonts w:ascii="Open Sans;sans-serif" w:hAnsi="Open Sans;sans-serif"/>
          <w:b w:val="false"/>
          <w:color w:val="000000"/>
          <w:sz w:val="20"/>
        </w:rPr>
        <w:t>by</w:t>
      </w:r>
      <w:r>
        <w:rPr>
          <w:color w:val="000000"/>
        </w:rPr>
        <w:t xml:space="preserve"> </w:t>
      </w:r>
      <w:r>
        <w:rPr>
          <w:rFonts w:ascii="Open Sans;sans-serif" w:hAnsi="Open Sans;sans-serif"/>
          <w:b w:val="false"/>
          <w:color w:val="000000"/>
          <w:sz w:val="20"/>
        </w:rPr>
        <w:t>$0.3 million</w:t>
      </w:r>
      <w:r>
        <w:rPr>
          <w:rFonts w:ascii="Times New Roman;serif" w:hAnsi="Times New Roman;serif"/>
          <w:b w:val="false"/>
          <w:color w:val="000000"/>
          <w:sz w:val="20"/>
        </w:rPr>
        <w:t xml:space="preserve">, </w:t>
      </w:r>
      <w:r>
        <w:rPr>
          <w:rFonts w:ascii="Open Sans;sans-serif" w:hAnsi="Open Sans;sans-serif"/>
          <w:b w:val="false"/>
          <w:color w:val="000000"/>
          <w:sz w:val="20"/>
        </w:rPr>
        <w:t>or</w:t>
      </w:r>
      <w:r>
        <w:rPr>
          <w:color w:val="000000"/>
        </w:rPr>
        <w:t xml:space="preserve"> </w:t>
      </w:r>
      <w:r>
        <w:rPr>
          <w:rFonts w:ascii="Open Sans;sans-serif" w:hAnsi="Open Sans;sans-serif"/>
          <w:b w:val="false"/>
          <w:color w:val="000000"/>
          <w:sz w:val="20"/>
        </w:rPr>
        <w:t>145%</w:t>
      </w:r>
      <w:r>
        <w:rPr>
          <w:rFonts w:ascii="Times New Roman;serif" w:hAnsi="Times New Roman;serif"/>
          <w:b w:val="false"/>
          <w:color w:val="000000"/>
          <w:sz w:val="20"/>
        </w:rPr>
        <w:t>,</w:t>
      </w:r>
      <w:r>
        <w:rPr>
          <w:color w:val="000000"/>
        </w:rPr>
        <w:t xml:space="preserve"> </w:t>
      </w:r>
      <w:r>
        <w:rPr>
          <w:rFonts w:ascii="Open Sans;sans-serif" w:hAnsi="Open Sans;sans-serif"/>
          <w:b w:val="false"/>
          <w:color w:val="000000"/>
          <w:sz w:val="20"/>
        </w:rPr>
        <w:t>for the three months ended June 30, 2026 compared to the same period in 2025 due to an increase in state income tax expense.</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Customer Concentration</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generated 41% and 46% of our net revenue from our largest customer, Block, during the three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2425"/>
                <wp:effectExtent l="0" t="0" r="0" b="0"/>
                <wp:wrapNone/>
                <wp:docPr id="34" name="Frame3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Comparison of the Six Months Ended June 30, 2026 and 2025</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Net Revenue</w:t>
      </w:r>
    </w:p>
    <w:tbl>
      <w:tblPr>
        <w:tblW w:w="10205" w:type="dxa"/>
        <w:jc w:val="left"/>
        <w:tblInd w:w="0" w:type="dxa"/>
        <w:tblLayout w:type="fixed"/>
        <w:tblCellMar>
          <w:top w:w="28" w:type="dxa"/>
          <w:left w:w="28" w:type="dxa"/>
          <w:bottom w:w="28" w:type="dxa"/>
          <w:right w:w="28" w:type="dxa"/>
        </w:tblCellMar>
      </w:tblPr>
      <w:tblGrid>
        <w:gridCol w:w="1424"/>
        <w:gridCol w:w="1226"/>
        <w:gridCol w:w="1235"/>
        <w:gridCol w:w="109"/>
        <w:gridCol w:w="109"/>
        <w:gridCol w:w="109"/>
        <w:gridCol w:w="413"/>
        <w:gridCol w:w="443"/>
        <w:gridCol w:w="443"/>
        <w:gridCol w:w="193"/>
        <w:gridCol w:w="193"/>
        <w:gridCol w:w="193"/>
        <w:gridCol w:w="413"/>
        <w:gridCol w:w="443"/>
        <w:gridCol w:w="443"/>
        <w:gridCol w:w="109"/>
        <w:gridCol w:w="109"/>
        <w:gridCol w:w="109"/>
        <w:gridCol w:w="226"/>
        <w:gridCol w:w="826"/>
        <w:gridCol w:w="109"/>
        <w:gridCol w:w="109"/>
        <w:gridCol w:w="109"/>
        <w:gridCol w:w="109"/>
        <w:gridCol w:w="203"/>
        <w:gridCol w:w="203"/>
        <w:gridCol w:w="595"/>
      </w:tblGrid>
      <w:tr>
        <w:trPr/>
        <w:tc>
          <w:tcPr>
            <w:tcW w:w="142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38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platform services,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319,907</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275,004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21,886</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14,461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51 </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341,793</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289,465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52,328 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Processing Volume (TPV)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232,783</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175,857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56,926 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Total platform services, net revenue increased by $44.9 million, or 16%, for the six months ended June 30, 2026, compared to the same period in 2025. The overall increase in platform services revenue was primarily driven by a 32% increase in TPV, partially offset by unfavorable shifts in our card program mix, particularly the expansion of programs where we provide processing services with minimal or no program management.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Other services revenue increased $7.4 million, or 51% in the six months ended June 30, 2026, compared to the same period in 2025, driven by higher card-related fulfillment, including card replacements and increased customer card shipments and professional services rendered for a certain network integration project that was completed in the first quarter of 2026.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TPV increase was driven by robust growth across all major use cases, particularly financial services, lending including buy-now-pay later, and expense management. TPV for our top five customers, based on their individual processing volumes in each respective period, grew by 25% for the six months ended June 30, 2026, compared to the same period in 2025. TPV from all other customers, as a group, increased by 53% in the six months ended June 30, 2026, compared to the same period in 2025. Note that the composition of the top five customers may differ between the two periods.</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Costs of Revenue and Gross Margin</w:t>
      </w:r>
    </w:p>
    <w:tbl>
      <w:tblPr>
        <w:tblW w:w="8433" w:type="dxa"/>
        <w:jc w:val="left"/>
        <w:tblInd w:w="0" w:type="dxa"/>
        <w:tblLayout w:type="fixed"/>
        <w:tblCellMar>
          <w:top w:w="28" w:type="dxa"/>
          <w:left w:w="28" w:type="dxa"/>
          <w:bottom w:w="28" w:type="dxa"/>
          <w:right w:w="28" w:type="dxa"/>
        </w:tblCellMar>
      </w:tblPr>
      <w:tblGrid>
        <w:gridCol w:w="859"/>
        <w:gridCol w:w="753"/>
        <w:gridCol w:w="758"/>
        <w:gridCol w:w="109"/>
        <w:gridCol w:w="109"/>
        <w:gridCol w:w="109"/>
        <w:gridCol w:w="335"/>
        <w:gridCol w:w="244"/>
        <w:gridCol w:w="642"/>
        <w:gridCol w:w="161"/>
        <w:gridCol w:w="161"/>
        <w:gridCol w:w="161"/>
        <w:gridCol w:w="335"/>
        <w:gridCol w:w="244"/>
        <w:gridCol w:w="642"/>
        <w:gridCol w:w="109"/>
        <w:gridCol w:w="109"/>
        <w:gridCol w:w="109"/>
        <w:gridCol w:w="226"/>
        <w:gridCol w:w="826"/>
        <w:gridCol w:w="109"/>
        <w:gridCol w:w="109"/>
        <w:gridCol w:w="109"/>
        <w:gridCol w:w="109"/>
        <w:gridCol w:w="203"/>
        <w:gridCol w:w="203"/>
        <w:gridCol w:w="59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23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20"/>
              </w:rPr>
            </w:pPr>
            <w:r>
              <w:rPr>
                <w:rFonts w:ascii="Open Sans;sans-serif" w:hAnsi="Open Sans;sans-serif"/>
                <w:b/>
                <w:color w:val="000000"/>
                <w:sz w:val="20"/>
              </w:rPr>
              <w:t>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Card Network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78,896</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66,915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Issuing Bank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9,583</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13,849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22 </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costs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102,328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86,725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15,603 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239,465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202,740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Costs of revenue increased by $15.6 million, or 18%, for the six months ended June 30, 2026, compared to the same period in 2025. This increase was primarily driven by higher Card Network and Issuing Bank fees associated with the increase in TPV. The remaining increase was driven by costs related to higher card-related fulfillment, including card replacements and increased customer card shipments.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the increase in cost of revenue was outpaced by the net revenue growth discussed above, gross profit increased by $36.7 million, or 18%, while gross margin remained flat for the six months ended June 30, 2026, compared to the same period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2425"/>
                <wp:effectExtent l="0" t="0" r="0" b="0"/>
                <wp:wrapNone/>
                <wp:docPr id="35" name="Frame3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Operating Expenses</w:t>
      </w:r>
    </w:p>
    <w:tbl>
      <w:tblPr>
        <w:tblW w:w="10205" w:type="dxa"/>
        <w:jc w:val="left"/>
        <w:tblInd w:w="0" w:type="dxa"/>
        <w:tblLayout w:type="fixed"/>
        <w:tblCellMar>
          <w:top w:w="28" w:type="dxa"/>
          <w:left w:w="28" w:type="dxa"/>
          <w:bottom w:w="28" w:type="dxa"/>
          <w:right w:w="28" w:type="dxa"/>
        </w:tblCellMar>
      </w:tblPr>
      <w:tblGrid>
        <w:gridCol w:w="1443"/>
        <w:gridCol w:w="1200"/>
        <w:gridCol w:w="1208"/>
        <w:gridCol w:w="109"/>
        <w:gridCol w:w="109"/>
        <w:gridCol w:w="109"/>
        <w:gridCol w:w="226"/>
        <w:gridCol w:w="946"/>
        <w:gridCol w:w="286"/>
        <w:gridCol w:w="109"/>
        <w:gridCol w:w="109"/>
        <w:gridCol w:w="109"/>
        <w:gridCol w:w="226"/>
        <w:gridCol w:w="946"/>
        <w:gridCol w:w="286"/>
        <w:gridCol w:w="109"/>
        <w:gridCol w:w="109"/>
        <w:gridCol w:w="109"/>
        <w:gridCol w:w="242"/>
        <w:gridCol w:w="661"/>
        <w:gridCol w:w="109"/>
        <w:gridCol w:w="109"/>
        <w:gridCol w:w="109"/>
        <w:gridCol w:w="109"/>
        <w:gridCol w:w="262"/>
        <w:gridCol w:w="264"/>
        <w:gridCol w:w="592"/>
      </w:tblGrid>
      <w:tr>
        <w:trPr/>
        <w:tc>
          <w:tcPr>
            <w:tcW w:w="144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38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Open Sans;sans-serif" w:hAnsi="Open Sans;sans-serif"/>
                <w:b/>
                <w:color w:val="000000"/>
                <w:sz w:val="20"/>
              </w:rPr>
            </w:pPr>
            <w:r>
              <w:rPr>
                <w:rFonts w:ascii="Open Sans;sans-serif" w:hAnsi="Open Sans;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Salaries, bonus, benefits and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113,907 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114,474 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42,373 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52,985 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Total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156,280 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167,459 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(11,179)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46 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58 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36,483 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30,913 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10,251 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9,914 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18,550 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11,984 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55 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Marketing and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103 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8,060 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7,296 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i/>
                <w:color w:val="000000"/>
                <w:sz w:val="20"/>
              </w:rPr>
            </w:pPr>
            <w:r>
              <w:rPr>
                <w:rFonts w:ascii="Open Sans;sans-serif" w:hAnsi="Open Sans;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233,735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230,506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20"/>
              </w:rPr>
            </w:pPr>
            <w:r>
              <w:rPr>
                <w:rFonts w:ascii="Open Sans;sans-serif" w:hAnsi="Open Sans;sans-serif"/>
                <w:b w:val="false"/>
                <w:i/>
                <w:color w:val="000000"/>
                <w:sz w:val="20"/>
              </w:rPr>
              <w:t>Percentage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Salaries, bonus, benefits, and payroll taxes remained relatively flat for the six months ended June 30, 2026, compared to the same period in 2025. This slight decrease was primarily driven by lower post-combination compensation expenses for former Power Finance employees, higher capitalized salaries, bonuses, and benefits costs related to internal-use software development and lower year-over-year severance and one-time retention bonuses awarded to certain key employees. These savings were mostly offset by higher salaries, bonuses, and contractor expenses due to increased in headcount.</w:t>
      </w:r>
    </w:p>
    <w:p>
      <w:pPr>
        <w:pStyle w:val="TextBody"/>
        <w:bidi w:val="0"/>
        <w:spacing w:lineRule="auto" w:line="288" w:before="120" w:after="283"/>
        <w:jc w:val="both"/>
        <w:rPr/>
      </w:pPr>
      <w:r>
        <w:rPr>
          <w:rFonts w:ascii="Open Sans;sans-serif" w:hAnsi="Open Sans;sans-serif"/>
          <w:b w:val="false"/>
          <w:color w:val="000000"/>
          <w:sz w:val="20"/>
        </w:rPr>
        <w:t>Share-based compensation decreased by $10.6 million, 20%</w:t>
      </w:r>
      <w:r>
        <w:rPr>
          <w:rFonts w:ascii="Times New Roman;serif" w:hAnsi="Times New Roman;serif"/>
          <w:b w:val="false"/>
          <w:color w:val="000000"/>
          <w:sz w:val="20"/>
        </w:rPr>
        <w:t>,</w:t>
      </w:r>
      <w:r>
        <w:rPr>
          <w:color w:val="000000"/>
        </w:rPr>
        <w:t xml:space="preserve"> </w:t>
      </w:r>
      <w:r>
        <w:rPr>
          <w:rFonts w:ascii="Open Sans;sans-serif" w:hAnsi="Open Sans;sans-serif"/>
          <w:b w:val="false"/>
          <w:color w:val="000000"/>
          <w:sz w:val="20"/>
        </w:rPr>
        <w:t>for the six months ended June 30, 2026, compared to the same period in 2025. This decrease was primarily driven by the fully vesting of higher grant-date fair value awards issued in prior years. These older awards are being replaced by new awards granted in more recent periods that carry lower grant-date fair values.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Technology expenses increased by $5.6 million, or 18%, for the six months ended June 30, 2026, compared to the same period in 2025, mainly driven by higher licensing and hosting costs to support system and tool implementations amid ongoing business growth.</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Professional services expenses remained relatively flat for the six months ended June 30, 2026, compared to the same period in 2025.</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Depreciation and amortization increased by $6.6 million, or 55%, for the six months ended June 30, 2026, compared to the same period in 2025. This increase was primarily driven by higher amortization of internally developed software as additional projects were capitalized and placed into service, as well as amortization of the customer relationships intangible asset acquired from TransactPay in the third quarter of 2025</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Marketing and advertising expenses increased by $1.2 million, or 103%, for the six months ended June 30, 2026, compared to the same period in 2025, primarily due to increased spending on brand campaigns and continued investment in marketing and advertising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2425"/>
                <wp:effectExtent l="0" t="0" r="0" b="0"/>
                <wp:wrapNone/>
                <wp:docPr id="36" name="Frame3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 xml:space="preserve">Occupancy expense remained relatively flat for the six months ended June 30, 2026, compared to the same period in 2025. </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Other operating expenses increased by $0.8 million, or 10%, for the six months ended June 30, 2026, compared to the same period in 2025 primarily due to a $0.7 million non-cash impairment charge related to certain internally developed software.</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Other Income, net</w:t>
      </w:r>
    </w:p>
    <w:tbl>
      <w:tblPr>
        <w:tblW w:w="8900" w:type="dxa"/>
        <w:jc w:val="left"/>
        <w:tblInd w:w="0" w:type="dxa"/>
        <w:tblLayout w:type="fixed"/>
        <w:tblCellMar>
          <w:top w:w="28" w:type="dxa"/>
          <w:left w:w="28" w:type="dxa"/>
          <w:bottom w:w="28" w:type="dxa"/>
          <w:right w:w="28" w:type="dxa"/>
        </w:tblCellMar>
      </w:tblPr>
      <w:tblGrid>
        <w:gridCol w:w="978"/>
        <w:gridCol w:w="858"/>
        <w:gridCol w:w="864"/>
        <w:gridCol w:w="109"/>
        <w:gridCol w:w="109"/>
        <w:gridCol w:w="109"/>
        <w:gridCol w:w="226"/>
        <w:gridCol w:w="826"/>
        <w:gridCol w:w="286"/>
        <w:gridCol w:w="109"/>
        <w:gridCol w:w="109"/>
        <w:gridCol w:w="109"/>
        <w:gridCol w:w="226"/>
        <w:gridCol w:w="826"/>
        <w:gridCol w:w="286"/>
        <w:gridCol w:w="109"/>
        <w:gridCol w:w="109"/>
        <w:gridCol w:w="109"/>
        <w:gridCol w:w="226"/>
        <w:gridCol w:w="796"/>
        <w:gridCol w:w="109"/>
        <w:gridCol w:w="109"/>
        <w:gridCol w:w="109"/>
        <w:gridCol w:w="109"/>
        <w:gridCol w:w="247"/>
        <w:gridCol w:w="248"/>
        <w:gridCol w:w="590"/>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27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10,369 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19,300 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(8,931)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(46)</w:t>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Percentage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Open Sans;sans-serif" w:hAnsi="Open Sans;sans-serif"/>
          <w:b w:val="false"/>
          <w:color w:val="000000"/>
          <w:sz w:val="20"/>
        </w:rPr>
      </w:pPr>
      <w:r>
        <w:rPr>
          <w:rFonts w:ascii="Open Sans;sans-serif" w:hAnsi="Open Sans;sans-serif"/>
          <w:b w:val="false"/>
          <w:color w:val="000000"/>
          <w:sz w:val="20"/>
        </w:rPr>
        <w:t>Other income, net decreased by $8.9 million, or 46%, for the six months ended June 30, 2026, compared to the same period in 2025. This decrease was primarily driven by lower interest income from our short-term investment portfolio and cash balances, as average balances were lower due to share repurchases completed during 2025 and the six months ended June 30, 2026. We also realized lower average yields during the six months ended June 30, 2026 compared to the same period in 2025.</w:t>
      </w:r>
    </w:p>
    <w:p>
      <w:pPr>
        <w:pStyle w:val="TextBody"/>
        <w:bidi w:val="0"/>
        <w:spacing w:lineRule="auto" w:line="288" w:before="240" w:after="120"/>
        <w:jc w:val="both"/>
        <w:rPr>
          <w:rFonts w:ascii="Open Sans;sans-serif" w:hAnsi="Open Sans;sans-serif"/>
          <w:b/>
          <w:i/>
          <w:color w:val="000000"/>
          <w:sz w:val="20"/>
        </w:rPr>
      </w:pPr>
      <w:r>
        <w:rPr>
          <w:rFonts w:ascii="Open Sans;sans-serif" w:hAnsi="Open Sans;sans-serif"/>
          <w:b/>
          <w:i/>
          <w:color w:val="000000"/>
          <w:sz w:val="20"/>
        </w:rPr>
        <w:t>Income Tax Expense</w:t>
      </w:r>
    </w:p>
    <w:tbl>
      <w:tblPr>
        <w:tblW w:w="7283" w:type="dxa"/>
        <w:jc w:val="left"/>
        <w:tblInd w:w="0" w:type="dxa"/>
        <w:tblLayout w:type="fixed"/>
        <w:tblCellMar>
          <w:top w:w="28" w:type="dxa"/>
          <w:left w:w="28" w:type="dxa"/>
          <w:bottom w:w="28" w:type="dxa"/>
          <w:right w:w="28" w:type="dxa"/>
        </w:tblCellMar>
      </w:tblPr>
      <w:tblGrid>
        <w:gridCol w:w="760"/>
        <w:gridCol w:w="667"/>
        <w:gridCol w:w="672"/>
        <w:gridCol w:w="109"/>
        <w:gridCol w:w="109"/>
        <w:gridCol w:w="109"/>
        <w:gridCol w:w="256"/>
        <w:gridCol w:w="597"/>
        <w:gridCol w:w="123"/>
        <w:gridCol w:w="123"/>
        <w:gridCol w:w="123"/>
        <w:gridCol w:w="123"/>
        <w:gridCol w:w="256"/>
        <w:gridCol w:w="597"/>
        <w:gridCol w:w="123"/>
        <w:gridCol w:w="109"/>
        <w:gridCol w:w="109"/>
        <w:gridCol w:w="109"/>
        <w:gridCol w:w="232"/>
        <w:gridCol w:w="541"/>
        <w:gridCol w:w="113"/>
        <w:gridCol w:w="109"/>
        <w:gridCol w:w="109"/>
        <w:gridCol w:w="109"/>
        <w:gridCol w:w="203"/>
        <w:gridCol w:w="203"/>
        <w:gridCol w:w="590"/>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 Change</w:t>
            </w:r>
          </w:p>
        </w:tc>
      </w:tr>
      <w:tr>
        <w:trPr/>
        <w:tc>
          <w:tcPr>
            <w:tcW w:w="20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5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698 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5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441 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257 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58 </w:t>
            </w:r>
          </w:p>
        </w:tc>
        <w:tc>
          <w:tcPr>
            <w:tcW w:w="5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pPr>
      <w:r>
        <w:rPr>
          <w:rFonts w:ascii="Open Sans;sans-serif" w:hAnsi="Open Sans;sans-serif"/>
          <w:b w:val="false"/>
          <w:color w:val="000000"/>
          <w:sz w:val="20"/>
        </w:rPr>
        <w:t>Income tax expense increased</w:t>
      </w:r>
      <w:r>
        <w:rPr>
          <w:color w:val="000000"/>
        </w:rPr>
        <w:t xml:space="preserve"> </w:t>
      </w:r>
      <w:r>
        <w:rPr>
          <w:rFonts w:ascii="Open Sans;sans-serif" w:hAnsi="Open Sans;sans-serif"/>
          <w:b w:val="false"/>
          <w:color w:val="000000"/>
          <w:sz w:val="20"/>
        </w:rPr>
        <w:t>by</w:t>
      </w:r>
      <w:r>
        <w:rPr>
          <w:color w:val="000000"/>
        </w:rPr>
        <w:t xml:space="preserve"> </w:t>
      </w:r>
      <w:r>
        <w:rPr>
          <w:rFonts w:ascii="Open Sans;sans-serif" w:hAnsi="Open Sans;sans-serif"/>
          <w:b w:val="false"/>
          <w:color w:val="000000"/>
          <w:sz w:val="20"/>
        </w:rPr>
        <w:t>$0.3 million</w:t>
      </w:r>
      <w:r>
        <w:rPr>
          <w:rFonts w:ascii="Times New Roman;serif" w:hAnsi="Times New Roman;serif"/>
          <w:b w:val="false"/>
          <w:color w:val="000000"/>
          <w:sz w:val="20"/>
        </w:rPr>
        <w:t xml:space="preserve">, </w:t>
      </w:r>
      <w:r>
        <w:rPr>
          <w:rFonts w:ascii="Open Sans;sans-serif" w:hAnsi="Open Sans;sans-serif"/>
          <w:b w:val="false"/>
          <w:color w:val="000000"/>
          <w:sz w:val="20"/>
        </w:rPr>
        <w:t>or</w:t>
      </w:r>
      <w:r>
        <w:rPr>
          <w:color w:val="000000"/>
        </w:rPr>
        <w:t xml:space="preserve"> </w:t>
      </w:r>
      <w:r>
        <w:rPr>
          <w:rFonts w:ascii="Open Sans;sans-serif" w:hAnsi="Open Sans;sans-serif"/>
          <w:b w:val="false"/>
          <w:color w:val="000000"/>
          <w:sz w:val="20"/>
        </w:rPr>
        <w:t>58%</w:t>
      </w:r>
      <w:r>
        <w:rPr>
          <w:rFonts w:ascii="Times New Roman;serif" w:hAnsi="Times New Roman;serif"/>
          <w:b w:val="false"/>
          <w:color w:val="000000"/>
          <w:sz w:val="20"/>
        </w:rPr>
        <w:t>,</w:t>
      </w:r>
      <w:r>
        <w:rPr>
          <w:color w:val="000000"/>
        </w:rPr>
        <w:t xml:space="preserve"> </w:t>
      </w:r>
      <w:r>
        <w:rPr>
          <w:rFonts w:ascii="Open Sans;sans-serif" w:hAnsi="Open Sans;sans-serif"/>
          <w:b w:val="false"/>
          <w:color w:val="000000"/>
          <w:sz w:val="20"/>
        </w:rPr>
        <w:t>for the six months ended June 30, 2026 compared to the same period in 2025 due to an increase in state income tax expense.</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 xml:space="preserve">Customer Concentration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generated 42% and 45% of our net revenue from our largest customer, Block, during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2425"/>
                <wp:effectExtent l="0" t="0" r="0" b="0"/>
                <wp:wrapNone/>
                <wp:docPr id="37" name="Frame3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center"/>
        <w:rPr>
          <w:rFonts w:ascii="Open Sans;sans-serif" w:hAnsi="Open Sans;sans-serif"/>
          <w:b/>
          <w:i/>
          <w:color w:val="000000"/>
          <w:sz w:val="20"/>
        </w:rPr>
      </w:pPr>
      <w:r>
        <w:rPr>
          <w:rFonts w:ascii="Open Sans;sans-serif" w:hAnsi="Open Sans;sans-serif"/>
          <w:b/>
          <w:i/>
          <w:color w:val="000000"/>
          <w:sz w:val="20"/>
        </w:rPr>
        <w:t>Use of Non-GAAP Financial Measures</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Our non-GAAP measures have limitations as analytical tools and you should not consider them in isolation. These non-GAAP measures should not be viewed as a substitute for, or superior to, measures prepared in accordance with GAAP. In evaluating these non-GAAP measures, note that we will likely incur expenses in the future similar to the adjustments in the presentation of our non-GAAP measures set forth under “Key Operating Metric and Non-GAAP Financial Measures”. There are a number of key limitations related to the use of these non-GAAP measures compared to their most directly comparable GAAP measures including the following:</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other companies, including companies in our industry, may calculate adjusted EBITDA and Adjusted operating expenses differently or not at all, limiting their usefulness as comparative measures;</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 xml:space="preserve">although depreciation and amortization are non-cash charges, the assets being depreciated or amortized may require future replacement, and adjusted EBITDA does not reflect cash requirements for such replacements or new capital expenditures; and </w:t>
      </w:r>
    </w:p>
    <w:p>
      <w:pPr>
        <w:pStyle w:val="TextBody"/>
        <w:bidi w:val="0"/>
        <w:spacing w:lineRule="auto" w:line="288" w:before="120" w:after="283"/>
        <w:ind w:left="0" w:right="0" w:hanging="360"/>
        <w:jc w:val="both"/>
        <w:rPr/>
      </w:pPr>
      <w:r>
        <w:rPr>
          <w:color w:val="000000"/>
        </w:rPr>
        <w:t>•</w:t>
      </w:r>
      <w:r>
        <w:rPr>
          <w:rFonts w:ascii="Open Sans;sans-serif" w:hAnsi="Open Sans;sans-serif"/>
          <w:b w:val="false"/>
          <w:color w:val="000000"/>
          <w:sz w:val="20"/>
        </w:rPr>
        <w:t>adjusted EBITDA does not reflect the effect of income taxes that may represent a reduction in cash available to us.</w:t>
      </w:r>
    </w:p>
    <w:p>
      <w:pPr>
        <w:pStyle w:val="TextBody"/>
        <w:bidi w:val="0"/>
        <w:spacing w:lineRule="auto" w:line="288" w:before="120" w:after="120"/>
        <w:jc w:val="both"/>
        <w:rPr>
          <w:rFonts w:ascii="Open Sans;sans-serif" w:hAnsi="Open Sans;sans-serif"/>
          <w:b w:val="false"/>
          <w:color w:val="000000"/>
          <w:sz w:val="20"/>
        </w:rPr>
      </w:pPr>
      <w:r>
        <w:rPr>
          <w:rFonts w:ascii="Open Sans;sans-serif" w:hAnsi="Open Sans;sans-serif"/>
          <w:b w:val="false"/>
          <w:color w:val="000000"/>
          <w:sz w:val="20"/>
        </w:rPr>
        <w:t xml:space="preserve">We encourage investors to review the related GAAP financial measures and the reconciliation of the non-GAAP financial measures to their most directly comparable GAAP financial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2425"/>
                <wp:effectExtent l="0" t="0" r="0" b="0"/>
                <wp:wrapNone/>
                <wp:docPr id="38" name="Frame3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Open Sans;sans-serif" w:hAnsi="Open Sans;sans-serif"/>
          <w:b w:val="false"/>
          <w:color w:val="000000"/>
          <w:sz w:val="20"/>
        </w:rPr>
      </w:pPr>
      <w:r>
        <w:rPr>
          <w:rFonts w:ascii="Open Sans;sans-serif" w:hAnsi="Open Sans;sans-serif"/>
          <w:b w:val="false"/>
          <w:color w:val="000000"/>
          <w:sz w:val="20"/>
        </w:rPr>
        <w:t>A reconciliation of Net income (loss) to adjusted EBITDA and GAAP operating expenses to Adjusted operating expenses for the periods presented is as follows:</w:t>
      </w:r>
    </w:p>
    <w:tbl>
      <w:tblPr>
        <w:tblW w:w="10205" w:type="dxa"/>
        <w:jc w:val="left"/>
        <w:tblInd w:w="0" w:type="dxa"/>
        <w:tblLayout w:type="fixed"/>
        <w:tblCellMar>
          <w:top w:w="28" w:type="dxa"/>
          <w:left w:w="28" w:type="dxa"/>
          <w:bottom w:w="28" w:type="dxa"/>
          <w:right w:w="28" w:type="dxa"/>
        </w:tblCellMar>
      </w:tblPr>
      <w:tblGrid>
        <w:gridCol w:w="1543"/>
        <w:gridCol w:w="736"/>
        <w:gridCol w:w="740"/>
        <w:gridCol w:w="109"/>
        <w:gridCol w:w="109"/>
        <w:gridCol w:w="109"/>
        <w:gridCol w:w="226"/>
        <w:gridCol w:w="946"/>
        <w:gridCol w:w="286"/>
        <w:gridCol w:w="109"/>
        <w:gridCol w:w="109"/>
        <w:gridCol w:w="109"/>
        <w:gridCol w:w="226"/>
        <w:gridCol w:w="946"/>
        <w:gridCol w:w="286"/>
        <w:gridCol w:w="109"/>
        <w:gridCol w:w="109"/>
        <w:gridCol w:w="109"/>
        <w:gridCol w:w="226"/>
        <w:gridCol w:w="946"/>
        <w:gridCol w:w="286"/>
        <w:gridCol w:w="109"/>
        <w:gridCol w:w="109"/>
        <w:gridCol w:w="109"/>
        <w:gridCol w:w="226"/>
        <w:gridCol w:w="946"/>
        <w:gridCol w:w="332"/>
      </w:tblGrid>
      <w:tr>
        <w:trPr/>
        <w:tc>
          <w:tcPr>
            <w:tcW w:w="154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i/>
                <w:color w:val="000000"/>
                <w:sz w:val="16"/>
              </w:rPr>
            </w:pPr>
            <w:r>
              <w:rPr>
                <w:rFonts w:ascii="Open Sans;sans-serif" w:hAnsi="Open Sans;sans-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r>
      <w:tr>
        <w:trPr/>
        <w:tc>
          <w:tcPr>
            <w:tcW w:w="30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175,995 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150,392 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341,793 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289,465 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7,567 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(647)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15,401 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(8,907)</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income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118,237 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113,289 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233,735 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230,506 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7,567 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(647)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15,401 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(8,907)</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22,356 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27,070 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42,373 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52,985 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9,696 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6,653 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18,550 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11,984 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 xml:space="preserve">Restructuring and other one-time costs </w:t>
            </w:r>
            <w:r>
              <w:rPr>
                <w:rFonts w:ascii="Open Sans;sans-serif" w:hAnsi="Open Sans;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4,332 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Payroll tax expense related to 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1,567 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 xml:space="preserve">Acquisition-related expenses </w:t>
            </w:r>
            <w:r>
              <w:rPr>
                <w:rFonts w:ascii="Open Sans;sans-serif" w:hAnsi="Open Sans;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5,488 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(4,436)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(8,787)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(10,369)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(19,300)</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505 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441 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37,420 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28,509 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70,757 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48,590 </w:t>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21 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17 </w:t>
            </w:r>
          </w:p>
        </w:tc>
        <w:tc>
          <w:tcPr>
            <w:tcW w:w="33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w:t>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118,237 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113,289 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233,735 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230,506 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 xml:space="preserve">Share-based compensation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(22,356)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(27,070)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(42,373)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(52,985)</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(9,696)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(6,653)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(18,550)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(11,984)</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 xml:space="preserve">Restructuring and other one-time costs </w:t>
            </w:r>
            <w:r>
              <w:rPr>
                <w:rFonts w:ascii="Open Sans;sans-serif" w:hAnsi="Open Sans;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(708)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(1,974)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(1,549)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(4,332)</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Payroll tax expense related to 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(644)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(791)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(1,464)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(1,567)</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20"/>
              </w:rPr>
              <w:t>Acquisition-related expenses</w:t>
            </w:r>
            <w:r>
              <w:rPr>
                <w:color w:val="000000"/>
              </w:rPr>
              <w:t xml:space="preserve"> </w:t>
            </w:r>
            <w:r>
              <w:rPr>
                <w:rFonts w:ascii="Open Sans;sans-serif" w:hAnsi="Open Sans;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(380)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(1,249)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(1,091)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(5,488)</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Adjusted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84,453 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75,552 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168,708 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154,150 </w:t>
            </w:r>
          </w:p>
        </w:tc>
        <w:tc>
          <w:tcPr>
            <w:tcW w:w="3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Open Sans;sans-serif" w:hAnsi="Open Sans;sans-serif"/>
          <w:b w:val="false"/>
          <w:color w:val="000000"/>
          <w:sz w:val="16"/>
        </w:rPr>
      </w:pPr>
      <w:r>
        <w:rPr>
          <w:rFonts w:ascii="Open Sans;sans-serif" w:hAnsi="Open Sans;sans-serif"/>
          <w:b w:val="false"/>
          <w:color w:val="000000"/>
          <w:sz w:val="16"/>
        </w:rPr>
        <w:t>(1) Restructuring and other one-time costs include the costs associated with the transition of our former CEO and other one-time costs related to retention bonuses provided to other key employees. These bonuses have service requirements and are expensed over the requisite service period.</w:t>
      </w:r>
    </w:p>
    <w:p>
      <w:pPr>
        <w:pStyle w:val="TextBody"/>
        <w:bidi w:val="0"/>
        <w:spacing w:lineRule="auto" w:line="288" w:before="60" w:after="283"/>
        <w:jc w:val="both"/>
        <w:rPr>
          <w:rFonts w:ascii="Open Sans;sans-serif" w:hAnsi="Open Sans;sans-serif"/>
          <w:b w:val="false"/>
          <w:color w:val="000000"/>
          <w:sz w:val="16"/>
        </w:rPr>
      </w:pPr>
      <w:r>
        <w:rPr>
          <w:rFonts w:ascii="Open Sans;sans-serif" w:hAnsi="Open Sans;sans-serif"/>
          <w:b w:val="false"/>
          <w:color w:val="000000"/>
          <w:sz w:val="16"/>
        </w:rPr>
        <w:t>(2) Acquisition-related expenses, which include transaction costs, integration costs and cash and non-cash postcombination compensation expense, have been excluded from adjusted EBITDA as such expenses are not reflective of our ongoing core operations and are not representative of the ongoing costs necessary to operate our business; instead, these are costs specifically associated with a discrete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Liquidity and Capital Resources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As of June 30, 2026, our primary sources of liquidity consisted of cash, cash equivalents, and short-term investments totaling $700.9 million, held primarily for working capital purposes. Our cash equivalents and short-term investments consisted primarily of bank deposits, money market funds, U.S. treasury bills, U.S. treasury securities, asset-backed securities, commercial paper, certificates of deposit, and corporate debt securities. We have historically incurred significant operating losses, as reflected in our accumulated deficit. We believe our existing cash and cash equivalents and our short-term investments will be sufficient to meet our working capital and capital expenditure needs for more than the next 12 months. As of the date of filing this Quarterly Report on Form 10-Q, we have access to and control over all our cash, cash equivalents, and short-term investments, with the exception of restricted cash. The majority of our restricted cash amounts are held solely for safeguarding customer funds in connection with TransactPay’s card and e-money wallet programs, and are not available for our general corporate purposes or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2425"/>
                <wp:effectExtent l="0" t="0" r="0" b="0"/>
                <wp:wrapNone/>
                <wp:docPr id="39" name="Frame3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Board of Directors has periodically authorized share repurchase programs for repurchases of shares of our Class A common stock. Most recently, on August 3, 2026, our Board of Directors authorized an additional share repurchase program authorizing the Company to purchase up to an aggregate of $150 million of the Company’s Class A common stock (the “August 2026 Share Repurchase Program”). This August 2026 Share Repurchase Program is distinct from the existing December 2025 Share Repurchase Program, which, as of the date of this filing, has been fully completed with no authorization remaining. Under the August 2026 Share Repurchase Program, the Company is authorized to repurchase shares through open market purchases, in privately negotiated transactions, or by other means, in accordance with applicable federal securities laws, including through trading plans under Rule 10b5-1 of the Exchange Act. The timing and total amount of any stock repurchases will be determined at management's discretion and depend upon business, economic and market conditions, corporate and regulatory requirements, prevailing stock prices and other considerations. The execution of the repurchase program will be consistent with the Company's capital allocation strategy, which prioritizes investments to grow the business. The August 2026 Share Repurchase Program has no set expiration date, and does not obligate Marqeta to acquire a specific number of shares of Class A common stock and may be canceled or suspended at any time without notice.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We believe our existing cash and cash equivalents, and short-term investments of $700.9 million as of June 30, 2026, will be sufficient to meet our working capital and capital expenditure needs for at least the next 12 months. As of the date of filing this Quarterly Report on Form 10-Q, we maintain full access to and control over all our cash, cash equivalents and short-term investments, except amounts held as restricted cash. Our future capital requirements will depend on many factors, such as continued investment in product development, platform infrastructure, share repurchases, potential strategic acquisitions, capital expenditures, and global expansion. We plan to allocate cash to support ongoing business investments, infrastructure enhancements, and non-cancellable purchase commitments with cloud-computing service providers and certain Issuing Banks.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As of June 30, 2026, we had $262.6 million in restricted cash, of which $260.4 million is related to the cash and cash equivalents held by TransactPay on behalf of its customers related to card and e-money wallet programs.</w:t>
      </w:r>
    </w:p>
    <w:p>
      <w:pPr>
        <w:pStyle w:val="TextBody"/>
        <w:bidi w:val="0"/>
        <w:spacing w:lineRule="auto" w:line="288" w:before="200" w:after="283"/>
        <w:jc w:val="both"/>
        <w:rPr>
          <w:rFonts w:ascii="Open Sans;sans-serif" w:hAnsi="Open Sans;sans-serif"/>
          <w:b/>
          <w:i/>
          <w:color w:val="000000"/>
          <w:sz w:val="20"/>
        </w:rPr>
      </w:pPr>
      <w:r>
        <w:rPr>
          <w:rFonts w:ascii="Open Sans;sans-serif" w:hAnsi="Open Sans;sans-serif"/>
          <w:b/>
          <w:i/>
          <w:color w:val="000000"/>
          <w:sz w:val="20"/>
        </w:rPr>
        <w:t>Cash Flows</w:t>
      </w:r>
    </w:p>
    <w:p>
      <w:pPr>
        <w:pStyle w:val="TextBody"/>
        <w:bidi w:val="0"/>
        <w:spacing w:lineRule="auto" w:line="288" w:before="120" w:after="283"/>
        <w:jc w:val="left"/>
        <w:rPr>
          <w:rFonts w:ascii="Open Sans;sans-serif" w:hAnsi="Open Sans;sans-serif"/>
          <w:b w:val="false"/>
          <w:color w:val="000000"/>
          <w:sz w:val="20"/>
        </w:rPr>
      </w:pPr>
      <w:r>
        <w:rPr>
          <w:rFonts w:ascii="Open Sans;sans-serif" w:hAnsi="Open Sans;sans-serif"/>
          <w:b w:val="false"/>
          <w:color w:val="000000"/>
          <w:sz w:val="20"/>
        </w:rPr>
        <w:t>The following table summarizes our cash flows for the periods indicated:</w:t>
      </w:r>
    </w:p>
    <w:tbl>
      <w:tblPr>
        <w:tblW w:w="8903" w:type="dxa"/>
        <w:jc w:val="left"/>
        <w:tblInd w:w="0" w:type="dxa"/>
        <w:tblLayout w:type="fixed"/>
        <w:tblCellMar>
          <w:top w:w="28" w:type="dxa"/>
          <w:left w:w="28" w:type="dxa"/>
          <w:bottom w:w="28" w:type="dxa"/>
          <w:right w:w="28" w:type="dxa"/>
        </w:tblCellMar>
      </w:tblPr>
      <w:tblGrid>
        <w:gridCol w:w="2143"/>
        <w:gridCol w:w="1877"/>
        <w:gridCol w:w="1889"/>
        <w:gridCol w:w="226"/>
        <w:gridCol w:w="916"/>
        <w:gridCol w:w="109"/>
        <w:gridCol w:w="109"/>
        <w:gridCol w:w="109"/>
        <w:gridCol w:w="109"/>
        <w:gridCol w:w="226"/>
        <w:gridCol w:w="1036"/>
        <w:gridCol w:w="154"/>
      </w:tblGrid>
      <w:tr>
        <w:trPr/>
        <w:tc>
          <w:tcPr>
            <w:tcW w:w="2143"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Six Months Ended June 30,</w:t>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Open Sans;sans-serif" w:hAnsi="Open Sans;sans-serif"/>
                <w:b/>
                <w:color w:val="000000"/>
                <w:sz w:val="15"/>
              </w:rPr>
            </w:pPr>
            <w:r>
              <w:rPr>
                <w:rFonts w:ascii="Open Sans;sans-serif" w:hAnsi="Open Sans;sans-serif"/>
                <w:b/>
                <w:color w:val="000000"/>
                <w:sz w:val="15"/>
              </w:rPr>
              <w:t>2025</w:t>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(in thousands)</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cash provided by operating activities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59,809 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22,534 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cash provided by investing activities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35,252 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75,719 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Net cash used in financing activities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(158,926)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(288,546)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20"/>
              </w:rPr>
            </w:pPr>
            <w:r>
              <w:rPr>
                <w:rFonts w:ascii="Open Sans;sans-serif" w:hAnsi="Open Sans;sans-serif"/>
                <w:b w:val="false"/>
                <w:color w:val="000000"/>
                <w:sz w:val="20"/>
              </w:rPr>
              <w:t>Net decrease in cash, cash equivalents, and restricted cash</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(63,865)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Open Sans;sans-serif" w:hAnsi="Open Sans;sans-serif"/>
                <w:b w:val="false"/>
                <w:color w:val="000000"/>
                <w:sz w:val="20"/>
              </w:rPr>
            </w:pPr>
            <w:r>
              <w:rPr>
                <w:rFonts w:ascii="Open Sans;sans-serif" w:hAnsi="Open Sans;sans-serif"/>
                <w:b w:val="false"/>
                <w:color w:val="000000"/>
                <w:sz w:val="20"/>
              </w:rPr>
              <w:t>(190,293)</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Open Sans;sans-serif" w:hAnsi="Open Sans;sans-serif"/>
          <w:b/>
          <w:i/>
          <w:color w:val="000000"/>
          <w:sz w:val="20"/>
        </w:rPr>
      </w:pPr>
      <w:r>
        <w:rPr>
          <w:rFonts w:ascii="Open Sans;sans-serif" w:hAnsi="Open Sans;sans-serif"/>
          <w:b/>
          <w:i/>
          <w:color w:val="000000"/>
          <w:sz w:val="20"/>
        </w:rPr>
        <w:t>Operating Activities</w:t>
      </w:r>
    </w:p>
    <w:p>
      <w:pPr>
        <w:pStyle w:val="TextBody"/>
        <w:bidi w:val="0"/>
        <w:spacing w:lineRule="auto" w:line="288" w:before="60" w:after="283"/>
        <w:jc w:val="both"/>
        <w:rPr>
          <w:rFonts w:ascii="Open Sans;sans-serif" w:hAnsi="Open Sans;sans-serif"/>
          <w:b w:val="false"/>
          <w:color w:val="000000"/>
          <w:sz w:val="20"/>
        </w:rPr>
      </w:pPr>
      <w:r>
        <w:rPr>
          <w:rFonts w:ascii="Open Sans;sans-serif" w:hAnsi="Open Sans;sans-serif"/>
          <w:b w:val="false"/>
          <w:color w:val="000000"/>
          <w:sz w:val="20"/>
        </w:rPr>
        <w:t>Our primary source of cash from operating activities is net revenue. The primary uses of cash in operating activities include Card Network and Issuing Bank fees and employee-related compensation. The timing of settlements of certain operating assets and liabilities, such as revenue share payments, bonus payments, prepayments to cloud-computing service providers, settlements receivable and network incentives receivable, may impact the amounts reported as net cash provided by or used in operating activities in the Condensed Consolidated Statements of Cash Flows.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Net cash provided by operating activities was $59.8 million for the six months ended June 30, 2026, compared to net cash provided by operating activities of $22.5 million for the same period in 2025. The year-over-year change was primarily driven by higher gross profit and favorable working capital timing, particularly related to network incentive receivables, partially offset by higher operating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2425"/>
                <wp:effectExtent l="0" t="0" r="0" b="0"/>
                <wp:wrapNone/>
                <wp:docPr id="40" name="Frame4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Investing Activities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Net cash provided by investing activities primarily consists of proceeds from maturities of short-term investments, while net cash used in investing activities primarily includes purchases of short-term investments, purchases of property and equipment, capitalized costs for internal-use software development, and business combinations when they occur.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Net cash provided by investing activities decreased by $40.5 million to $35.3 million for the six months ended June 30, 2026, from $75.7 million in the same period in 2025. This decrease was primarily due to fewer maturities of short-term investments and higher capitalization of internal-use software.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Financing Activities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Net cash used in financing activities consists primarily of net payments related to share-based compensation activities, our share repurchase programs, and the net impact of funds payable and amounts owed to customers.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Net cash used in financing activities decreased to $158.9 million for the six months ended June 30, 2026, from $288.5 million in the same period in 2025. The decrease was primarily due to lower repurchases of our Class A common stock, partially offset by a $2.7 million contingent consideration payment related to the TransactPay acquisition.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 xml:space="preserve">Obligations and Other Commitments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There have been no other material changes to our obligations and other commitments from those reported in our 2025 Annual Report.</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For additional information about our contractual obligations and other commitments, see Note 9 “Commitments and Contingencies”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 xml:space="preserve">Critical Accounting Policies and Estimates </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Our Condensed Consolidated Financial Statements are prepared in accordance with GAAP. The preparation of these Condensed Consolidated Financial Statements requires us to make estimates and assumptions that affect the reported amounts of assets, liabilities, revenue, costs, and expenses, and the related disclosures. On an ongoing basis, we evaluate our accounting estimates and assumptions. Our actual results may differ from these estimates under different assumptions or conditions.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There have been no material changes to our critical accounting policies and estimates described in “Management's Discussion and Analysis of Financial Condition and Results of Operations” set forth in our 2025 Annual Report.</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2425"/>
                <wp:effectExtent l="0" t="0" r="0" b="0"/>
                <wp:wrapNone/>
                <wp:docPr id="41" name="Frame4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3. Quantitative and Qualitative Disclosures about Market Risk</w:t>
      </w:r>
    </w:p>
    <w:p>
      <w:pPr>
        <w:pStyle w:val="TextBody"/>
        <w:bidi w:val="0"/>
        <w:spacing w:lineRule="auto" w:line="288" w:before="120" w:after="283"/>
        <w:jc w:val="both"/>
        <w:rPr/>
      </w:pPr>
      <w:r>
        <w:rPr>
          <w:rFonts w:ascii="Open Sans;sans-serif" w:hAnsi="Open Sans;sans-serif"/>
          <w:b w:val="false"/>
          <w:color w:val="000000"/>
          <w:sz w:val="20"/>
        </w:rPr>
        <w:t>We</w:t>
      </w:r>
      <w:r>
        <w:rPr>
          <w:color w:val="231F20"/>
        </w:rPr>
        <w:t xml:space="preserve"> </w:t>
      </w:r>
      <w:r>
        <w:rPr>
          <w:rFonts w:ascii="Open Sans;sans-serif" w:hAnsi="Open Sans;sans-serif"/>
          <w:b w:val="false"/>
          <w:color w:val="231F20"/>
          <w:sz w:val="20"/>
        </w:rPr>
        <w:t>have operations within the United States and globally, and are exposed to market risks in the ordinary course of our business. Information relating to quantitative and qualitative disclosures about these market risks is described below.</w:t>
      </w:r>
    </w:p>
    <w:p>
      <w:pPr>
        <w:pStyle w:val="TextBody"/>
        <w:bidi w:val="0"/>
        <w:spacing w:lineRule="auto" w:line="288" w:before="120" w:after="283"/>
        <w:jc w:val="both"/>
        <w:rPr>
          <w:rFonts w:ascii="Open Sans;sans-serif" w:hAnsi="Open Sans;sans-serif"/>
          <w:b/>
          <w:i/>
          <w:color w:val="231F20"/>
          <w:sz w:val="20"/>
        </w:rPr>
      </w:pPr>
      <w:r>
        <w:rPr>
          <w:rFonts w:ascii="Open Sans;sans-serif" w:hAnsi="Open Sans;sans-serif"/>
          <w:b/>
          <w:i/>
          <w:color w:val="231F20"/>
          <w:sz w:val="20"/>
        </w:rPr>
        <w:t>Interest Rate Risk</w:t>
      </w:r>
    </w:p>
    <w:p>
      <w:pPr>
        <w:pStyle w:val="TextBody"/>
        <w:bidi w:val="0"/>
        <w:spacing w:lineRule="auto" w:line="288" w:before="120" w:after="283"/>
        <w:jc w:val="both"/>
        <w:rPr/>
      </w:pPr>
      <w:r>
        <w:rPr>
          <w:rFonts w:ascii="Open Sans;sans-serif" w:hAnsi="Open Sans;sans-serif"/>
          <w:b w:val="false"/>
          <w:color w:val="231F20"/>
          <w:sz w:val="20"/>
        </w:rPr>
        <w:t>As of June 30, 2026, our cash, cash equivalents, and short-term investments totaled $700.9 million, comprising cash deposits, money market funds, U.S. treasury bills, U.S. treasury securities, commercial paper, certificates of deposits, asset-backed securities and corporate debt securities. The fair value of these holdings would not be significantly impacted by interest rate fluctuations due to their short-term maturities. Because we classify our short-term investments as “available-for-sale”</w:t>
      </w:r>
      <w:r>
        <w:rPr>
          <w:rFonts w:ascii="Open Sans;sans-serif" w:hAnsi="Open Sans;sans-serif"/>
          <w:b w:val="false"/>
          <w:color w:val="000000"/>
          <w:sz w:val="20"/>
        </w:rPr>
        <w:t xml:space="preserve">, </w:t>
      </w:r>
      <w:r>
        <w:rPr>
          <w:rFonts w:ascii="Open Sans;sans-serif" w:hAnsi="Open Sans;sans-serif"/>
          <w:b w:val="false"/>
          <w:color w:val="231F20"/>
          <w:sz w:val="20"/>
        </w:rPr>
        <w:t>no gains or losses are recognized in the Condensed Consolidated Statements of Operations and Comprehensive Income (Loss) due to changes in interest rates unless such securities are sold prior to maturity or declines in fair value are due to credit losses. We have the ability and intent to hold all short-term investments until maturity. A hypothetical 100 basis point increase or decrease in interest rates would not have a material effect on our financial results or condition.</w:t>
      </w:r>
    </w:p>
    <w:p>
      <w:pPr>
        <w:pStyle w:val="TextBody"/>
        <w:bidi w:val="0"/>
        <w:spacing w:lineRule="auto" w:line="288" w:before="120" w:after="283"/>
        <w:jc w:val="both"/>
        <w:rPr>
          <w:rFonts w:ascii="Open Sans;sans-serif" w:hAnsi="Open Sans;sans-serif"/>
          <w:b/>
          <w:i/>
          <w:color w:val="231F20"/>
          <w:sz w:val="20"/>
        </w:rPr>
      </w:pPr>
      <w:r>
        <w:rPr>
          <w:rFonts w:ascii="Open Sans;sans-serif" w:hAnsi="Open Sans;sans-serif"/>
          <w:b/>
          <w:i/>
          <w:color w:val="231F20"/>
          <w:sz w:val="20"/>
        </w:rPr>
        <w:t>Foreign Currency Exchange Risk</w:t>
      </w:r>
    </w:p>
    <w:p>
      <w:pPr>
        <w:pStyle w:val="TextBody"/>
        <w:bidi w:val="0"/>
        <w:spacing w:lineRule="auto" w:line="288" w:before="120" w:after="283"/>
        <w:jc w:val="both"/>
        <w:rPr/>
      </w:pPr>
      <w:r>
        <w:rPr>
          <w:rFonts w:ascii="Open Sans;sans-serif" w:hAnsi="Open Sans;sans-serif"/>
          <w:b w:val="false"/>
          <w:color w:val="000000"/>
          <w:sz w:val="20"/>
        </w:rPr>
        <w:t>Most</w:t>
      </w:r>
      <w:r>
        <w:rPr>
          <w:color w:val="231F20"/>
        </w:rPr>
        <w:t xml:space="preserve"> </w:t>
      </w:r>
      <w:r>
        <w:rPr>
          <w:rFonts w:ascii="Open Sans;sans-serif" w:hAnsi="Open Sans;sans-serif"/>
          <w:b w:val="false"/>
          <w:color w:val="231F20"/>
          <w:sz w:val="20"/>
        </w:rPr>
        <w:t>of our sales and operating expenses are denominated in U.S. dollars, and therefore our results of operations are not currently subject to significant foreign currency risk. As of June 30, 2026, a hypothetical 10% change in foreign currency exchange rates applicable to our business would not have had a material impact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2425"/>
                <wp:effectExtent l="0" t="0" r="0" b="0"/>
                <wp:wrapNone/>
                <wp:docPr id="42" name="Frame4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4. Controls and Procedures</w:t>
      </w:r>
    </w:p>
    <w:p>
      <w:pPr>
        <w:pStyle w:val="TextBody"/>
        <w:bidi w:val="0"/>
        <w:spacing w:lineRule="auto" w:line="288" w:before="120" w:after="283"/>
        <w:jc w:val="both"/>
        <w:rPr>
          <w:rFonts w:ascii="Open Sans;sans-serif" w:hAnsi="Open Sans;sans-serif"/>
          <w:b/>
          <w:i/>
          <w:color w:val="000000"/>
          <w:sz w:val="20"/>
        </w:rPr>
      </w:pPr>
      <w:r>
        <w:rPr>
          <w:rFonts w:ascii="Open Sans;sans-serif" w:hAnsi="Open Sans;sans-serif"/>
          <w:b/>
          <w:i/>
          <w:color w:val="000000"/>
          <w:sz w:val="20"/>
        </w:rPr>
        <w:t>Evaluation of Disclosure Controls and Procedures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Disclosure controls and procedures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w:t>
      </w:r>
    </w:p>
    <w:p>
      <w:pPr>
        <w:pStyle w:val="TextBody"/>
        <w:bidi w:val="0"/>
        <w:spacing w:lineRule="auto" w:line="288" w:before="120" w:after="283"/>
        <w:jc w:val="both"/>
        <w:rPr/>
      </w:pPr>
      <w:r>
        <w:rPr>
          <w:rFonts w:ascii="Open Sans;sans-serif" w:hAnsi="Open Sans;sans-serif"/>
          <w:b w:val="false"/>
          <w:color w:val="000000"/>
          <w:sz w:val="20"/>
        </w:rPr>
        <w:t xml:space="preserve">Based on such evaluation, our management has concluded our disclosure controls and procedures were effective at a reasonable assurance level as of </w:t>
      </w:r>
      <w:r>
        <w:rPr>
          <w:rFonts w:ascii="Open Sans;sans-serif" w:hAnsi="Open Sans;sans-serif"/>
          <w:b w:val="false"/>
          <w:color w:val="231F20"/>
          <w:sz w:val="20"/>
        </w:rPr>
        <w:t>June 30, 2026</w:t>
      </w:r>
      <w:r>
        <w:rPr>
          <w:rFonts w:ascii="Open Sans;sans-serif" w:hAnsi="Open Sans;sans-serif"/>
          <w:b w:val="false"/>
          <w:color w:val="000000"/>
          <w:sz w:val="20"/>
        </w:rPr>
        <w:t xml:space="preserve">.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Changes in Internal Control Over Financial Reporting</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In connection with the acquisition of TransactPay, the Company continues to review its internal controls and is implementing changes as deemed necessary. While we are in the process of implementing controls related to the ongoing integration of TransactPay, there have been no changes in the Company’s internal control over financial reporting (as such term is defined in Rules 13a-15(f) and 15d-15(f) under the Exchange Act) during the second quarter of fiscal 2026 that have materially affected, or are reasonably likely to materially affect, the Company’s internal control over financial reporting. </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Limitations on Effectiveness of Controls and Procedures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The effectiveness of any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2425"/>
                <wp:effectExtent l="0" t="0" r="0" b="0"/>
                <wp:wrapNone/>
                <wp:docPr id="43" name="Frame43"/>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Open Sans;sans-serif" w:hAnsi="Open Sans;sans-serif"/>
          <w:b/>
          <w:color w:val="231F20"/>
          <w:sz w:val="20"/>
        </w:rPr>
      </w:pPr>
      <w:r>
        <w:rPr>
          <w:rFonts w:ascii="Open Sans;sans-serif" w:hAnsi="Open Sans;sans-serif"/>
          <w:b/>
          <w:color w:val="231F2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1. Legal Proceedings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From time to time, we may be subject to legal proceedings and claims arising in the ordinary course of business. We are currently involved in the following matter:</w:t>
      </w:r>
    </w:p>
    <w:p>
      <w:pPr>
        <w:pStyle w:val="TextBody"/>
        <w:bidi w:val="0"/>
        <w:spacing w:lineRule="auto" w:line="288" w:before="120" w:after="283"/>
        <w:jc w:val="both"/>
        <w:rPr/>
      </w:pPr>
      <w:r>
        <w:rPr>
          <w:rFonts w:ascii="Open Sans;sans-serif" w:hAnsi="Open Sans;sans-serif"/>
          <w:b w:val="false"/>
          <w:color w:val="231F20"/>
          <w:sz w:val="20"/>
        </w:rPr>
        <w:t xml:space="preserve">On December 9, 2024, a putative securities class action lawsuit, captioned </w:t>
      </w:r>
      <w:r>
        <w:rPr>
          <w:rFonts w:ascii="Open Sans;sans-serif" w:hAnsi="Open Sans;sans-serif"/>
          <w:b w:val="false"/>
          <w:i/>
          <w:color w:val="231F20"/>
          <w:sz w:val="20"/>
        </w:rPr>
        <w:t>Wai v. Marqeta, Inc., et al.</w:t>
      </w:r>
      <w:r>
        <w:rPr>
          <w:rFonts w:ascii="Open Sans;sans-serif" w:hAnsi="Open Sans;sans-serif"/>
          <w:b w:val="false"/>
          <w:color w:val="231F20"/>
          <w:sz w:val="20"/>
        </w:rPr>
        <w:t xml:space="preserve">, Case No. 24-cv-08874 (N.D. Cal.), was filed in federal court in the Northern District of California (“Court”) against the Company and certain of its current and former officers (“Defendants”) alleging violations of federal securities laws. The lawsuit asserts that during the putative class period of between August 7, 2024 and November 4, 2024, Defendants made false or misleading statements relating to the Company’s performance or revenue and gross profit expectations in violation of Sections 10(b) and 20(a) of the Securities Exchange Act of 1934 and Rule 10b-5 promulgated thereunder. </w:t>
      </w:r>
    </w:p>
    <w:p>
      <w:pPr>
        <w:pStyle w:val="TextBody"/>
        <w:bidi w:val="0"/>
        <w:spacing w:lineRule="auto" w:line="288" w:before="120" w:after="283"/>
        <w:jc w:val="both"/>
        <w:rPr/>
      </w:pPr>
      <w:r>
        <w:rPr>
          <w:rFonts w:ascii="Open Sans;sans-serif" w:hAnsi="Open Sans;sans-serif"/>
          <w:b w:val="false"/>
          <w:color w:val="231F20"/>
          <w:sz w:val="20"/>
        </w:rPr>
        <w:t xml:space="preserve">On December 10, 2024, a second putative securities class action lawsuit, captioned </w:t>
      </w:r>
      <w:r>
        <w:rPr>
          <w:rFonts w:ascii="Open Sans;sans-serif" w:hAnsi="Open Sans;sans-serif"/>
          <w:b w:val="false"/>
          <w:i/>
          <w:color w:val="231F20"/>
          <w:sz w:val="20"/>
        </w:rPr>
        <w:t>Ford v. Marqeta, Inc., et al.</w:t>
      </w:r>
      <w:r>
        <w:rPr>
          <w:rFonts w:ascii="Open Sans;sans-serif" w:hAnsi="Open Sans;sans-serif"/>
          <w:b w:val="false"/>
          <w:color w:val="231F20"/>
          <w:sz w:val="20"/>
        </w:rPr>
        <w:t xml:space="preserve">, Case No. 24-cv-08892 (N.D. Cal.), was filed in the same Court against the same Defendants alleging violations of the same federal securities laws. The second lawsuit asserts similar theories of liability as the first lawsuit but alleges a broader putative class period of between May 7, 2024 and November 4, 2024 and some additional and/or different allegations on which the claims are based. Both lawsuits (collectively, the “Securities Actions”) seek to recover damages on behalf of shareholders who acquired shares of the Company’s common stock during their respective putative class periods. </w:t>
      </w:r>
      <w:r>
        <w:rPr>
          <w:rFonts w:ascii="Open Sans;sans-serif" w:hAnsi="Open Sans;sans-serif"/>
          <w:b w:val="false"/>
          <w:color w:val="000000"/>
          <w:sz w:val="20"/>
        </w:rPr>
        <w:t xml:space="preserve">The Securities Actions have been consolidated into one consolidated securities litigation captioned </w:t>
      </w:r>
      <w:r>
        <w:rPr>
          <w:rFonts w:ascii="Open Sans;sans-serif" w:hAnsi="Open Sans;sans-serif"/>
          <w:b w:val="false"/>
          <w:i/>
          <w:color w:val="000000"/>
          <w:sz w:val="20"/>
        </w:rPr>
        <w:t>In re Marqeta, Inc. Securities Litigation</w:t>
      </w:r>
      <w:r>
        <w:rPr>
          <w:rFonts w:ascii="Open Sans;sans-serif" w:hAnsi="Open Sans;sans-serif"/>
          <w:b w:val="false"/>
          <w:color w:val="000000"/>
          <w:sz w:val="20"/>
        </w:rPr>
        <w:t xml:space="preserve">, Case No. 24-08874-YGR (N.D. Cal) and the Court has appointed a lead plaintiff and lead plaintiff’s counsel in the matter. On April 10, 2025, the lead plaintiff filed a consolidated amended complaint, which alleges a putative class period of between February 28, 2024 and November 4, 2024. We and the other Defendants filed a motion to dismiss the consolidated amended complaint on May 15, 2025. </w:t>
      </w:r>
    </w:p>
    <w:p>
      <w:pPr>
        <w:pStyle w:val="TextBody"/>
        <w:bidi w:val="0"/>
        <w:spacing w:lineRule="auto" w:line="276" w:before="120" w:after="283"/>
        <w:jc w:val="both"/>
        <w:rPr>
          <w:rFonts w:ascii="Open Sans;sans-serif" w:hAnsi="Open Sans;sans-serif"/>
          <w:b w:val="false"/>
          <w:color w:val="000000"/>
          <w:sz w:val="20"/>
        </w:rPr>
      </w:pPr>
      <w:r>
        <w:rPr>
          <w:rFonts w:ascii="Open Sans;sans-serif" w:hAnsi="Open Sans;sans-serif"/>
          <w:b w:val="false"/>
          <w:color w:val="000000"/>
          <w:sz w:val="20"/>
        </w:rPr>
        <w:t>On November 3, 2025, a settlement was reached, in principle, with the lead plaintiff’s counsel to resolve the Securities Actions for payments totaling $13.0 million, subject to judicial approvals. The Company’s Directors and Officers insurance policy includes a $5.0 million self-insured retention that applies to covered losses related to the Securities Actions, including legal defense fees and settlement payments. If finalized, the settlement will be funded by insurance less the self-insured retention.</w:t>
      </w:r>
    </w:p>
    <w:p>
      <w:pPr>
        <w:pStyle w:val="TextBody"/>
        <w:bidi w:val="0"/>
        <w:spacing w:lineRule="auto" w:line="288" w:before="120" w:after="283"/>
        <w:jc w:val="both"/>
        <w:rPr/>
      </w:pPr>
      <w:r>
        <w:rPr>
          <w:rFonts w:ascii="Open Sans;sans-serif" w:hAnsi="Open Sans;sans-serif"/>
          <w:b w:val="false"/>
          <w:color w:val="000000"/>
          <w:sz w:val="20"/>
        </w:rPr>
        <w:t>On February 4, 2025, a putative shareholder derivative lawsuit, capti</w:t>
      </w:r>
      <w:r>
        <w:rPr>
          <w:rFonts w:ascii="Open Sans;sans-serif" w:hAnsi="Open Sans;sans-serif"/>
          <w:b w:val="false"/>
          <w:color w:val="231F20"/>
          <w:sz w:val="20"/>
        </w:rPr>
        <w:t xml:space="preserve">oned </w:t>
      </w:r>
      <w:r>
        <w:rPr>
          <w:rFonts w:ascii="Open Sans;sans-serif" w:hAnsi="Open Sans;sans-serif"/>
          <w:b w:val="false"/>
          <w:i/>
          <w:color w:val="231F20"/>
          <w:sz w:val="20"/>
        </w:rPr>
        <w:t>Smith v. Khalaf, et al.</w:t>
      </w:r>
      <w:r>
        <w:rPr>
          <w:rFonts w:ascii="Open Sans;sans-serif" w:hAnsi="Open Sans;sans-serif"/>
          <w:b w:val="false"/>
          <w:color w:val="231F20"/>
          <w:sz w:val="20"/>
        </w:rPr>
        <w:t xml:space="preserve">, Case No. 25-cv-01174 (N.D. Cal.), was filed in the same Court against certain of the Company’s current and former officers and its Board of Directors (as then constituted), and named the Company as a nominal defendant. This lawsuit asserts claims for breach of fiduciary duties and violations of federal securities laws, among other claims, between the time period of May 7, 2024 and November 4, 2024 under similar theories as the Securities Actions. Two other substantially similar putative shareholder derivative lawsuits, captioned </w:t>
      </w:r>
      <w:r>
        <w:rPr>
          <w:rFonts w:ascii="Open Sans;sans-serif" w:hAnsi="Open Sans;sans-serif"/>
          <w:b w:val="false"/>
          <w:i/>
          <w:color w:val="231F20"/>
          <w:sz w:val="20"/>
        </w:rPr>
        <w:t>Ojserkis v. Khalaf, et al.</w:t>
      </w:r>
      <w:r>
        <w:rPr>
          <w:rFonts w:ascii="Open Sans;sans-serif" w:hAnsi="Open Sans;sans-serif"/>
          <w:b w:val="false"/>
          <w:color w:val="231F20"/>
          <w:sz w:val="20"/>
        </w:rPr>
        <w:t>, Case No. 25-cv-01883 (N.D. Cal.)</w:t>
      </w:r>
      <w:r>
        <w:rPr>
          <w:color w:val="000000"/>
        </w:rPr>
        <w:t xml:space="preserve"> </w:t>
      </w:r>
      <w:r>
        <w:rPr>
          <w:rFonts w:ascii="Open Sans;sans-serif" w:hAnsi="Open Sans;sans-serif"/>
          <w:b w:val="false"/>
          <w:color w:val="000000"/>
          <w:sz w:val="20"/>
        </w:rPr>
        <w:t xml:space="preserve">and </w:t>
      </w:r>
      <w:r>
        <w:rPr>
          <w:rFonts w:ascii="Open Sans;sans-serif" w:hAnsi="Open Sans;sans-serif"/>
          <w:b w:val="false"/>
          <w:i/>
          <w:color w:val="000000"/>
          <w:sz w:val="20"/>
        </w:rPr>
        <w:t>Preciado v. Khalaf, et al.</w:t>
      </w:r>
      <w:r>
        <w:rPr>
          <w:rFonts w:ascii="Open Sans;sans-serif" w:hAnsi="Open Sans;sans-serif"/>
          <w:b w:val="false"/>
          <w:color w:val="000000"/>
          <w:sz w:val="20"/>
        </w:rPr>
        <w:t>, Case No. 3:25-cv-02100 (N.D. Cal.)</w:t>
      </w:r>
      <w:r>
        <w:rPr>
          <w:color w:val="231F20"/>
        </w:rPr>
        <w:t xml:space="preserve"> </w:t>
      </w:r>
      <w:r>
        <w:rPr>
          <w:rFonts w:ascii="Open Sans;sans-serif" w:hAnsi="Open Sans;sans-serif"/>
          <w:b w:val="false"/>
          <w:color w:val="231F20"/>
          <w:sz w:val="20"/>
        </w:rPr>
        <w:t xml:space="preserve">were filed on February 21, 2025 and February 27, 2025, respectively. </w:t>
      </w:r>
      <w:r>
        <w:rPr>
          <w:rFonts w:ascii="Open Sans;sans-serif" w:hAnsi="Open Sans;sans-serif"/>
          <w:b w:val="false"/>
          <w:color w:val="000000"/>
          <w:sz w:val="20"/>
        </w:rPr>
        <w:t xml:space="preserve">All three putative shareholder derivative suits have been consolidated into one lawsuit captioned </w:t>
      </w:r>
      <w:r>
        <w:rPr>
          <w:rFonts w:ascii="Open Sans;sans-serif" w:hAnsi="Open Sans;sans-serif"/>
          <w:b w:val="false"/>
          <w:i/>
          <w:color w:val="000000"/>
          <w:sz w:val="20"/>
        </w:rPr>
        <w:t>In re Marqeta, Inc. Derivative Litigation</w:t>
      </w:r>
      <w:r>
        <w:rPr>
          <w:rFonts w:ascii="Open Sans;sans-serif" w:hAnsi="Open Sans;sans-serif"/>
          <w:b w:val="false"/>
          <w:color w:val="000000"/>
          <w:sz w:val="20"/>
        </w:rPr>
        <w:t>, Case No. 4:25-cv-01174-YGR (N.D. Cal). The consolidated derivative action is currently stayed pending developments in the consolidated Securities Actions.</w:t>
      </w:r>
    </w:p>
    <w:p>
      <w:pPr>
        <w:pStyle w:val="TextBody"/>
        <w:bidi w:val="0"/>
        <w:spacing w:lineRule="auto" w:line="288" w:before="120" w:after="283"/>
        <w:jc w:val="both"/>
        <w:rPr>
          <w:rFonts w:ascii="Open Sans;sans-serif" w:hAnsi="Open Sans;sans-serif"/>
          <w:b w:val="false"/>
          <w:color w:val="231F20"/>
          <w:sz w:val="20"/>
        </w:rPr>
      </w:pPr>
      <w:r>
        <w:rPr>
          <w:rFonts w:ascii="Open Sans;sans-serif" w:hAnsi="Open Sans;sans-serif"/>
          <w:b w:val="false"/>
          <w:color w:val="231F20"/>
          <w:sz w:val="20"/>
        </w:rPr>
        <w:t>Given the inherent uncertainty of litigation, the Company cannot reasonably estimate the likelihood of an unfavorable outcome or the amount or range of any potential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Open Sans;sans-serif" w:hAnsi="Open Sans;sans-serif"/>
          <w:b/>
          <w:color w:val="231F20"/>
          <w:sz w:val="20"/>
        </w:rPr>
      </w:pPr>
      <w:r>
        <w:rPr>
          <w:rFonts w:ascii="Open Sans;sans-serif" w:hAnsi="Open Sans;sans-serif"/>
          <w:b/>
          <w:color w:val="231F20"/>
          <w:sz w:val="20"/>
        </w:rPr>
        <w:t>Item 1A. Risk Factors</w:t>
      </w:r>
    </w:p>
    <w:p>
      <w:pPr>
        <w:pStyle w:val="TextBody"/>
        <w:bidi w:val="0"/>
        <w:spacing w:before="0" w:after="0"/>
        <w:jc w:val="both"/>
        <w:rPr/>
      </w:pPr>
      <w:r>
        <w:rPr/>
      </w:r>
    </w:p>
    <w:p>
      <w:pPr>
        <w:pStyle w:val="TextBody"/>
        <w:bidi w:val="0"/>
        <w:spacing w:lineRule="auto" w:line="288" w:before="0" w:after="0"/>
        <w:jc w:val="both"/>
        <w:rPr>
          <w:rFonts w:ascii="Open Sans;sans-serif" w:hAnsi="Open Sans;sans-serif"/>
          <w:b w:val="false"/>
          <w:color w:val="231F20"/>
          <w:sz w:val="20"/>
        </w:rPr>
      </w:pPr>
      <w:r>
        <w:rPr>
          <w:rFonts w:ascii="Open Sans;sans-serif" w:hAnsi="Open Sans;sans-serif"/>
          <w:b w:val="false"/>
          <w:color w:val="231F20"/>
          <w:sz w:val="20"/>
        </w:rPr>
        <w:t>In addition to the other information set forth in this Quarterly Report on Form 10-Q, our business, financial condition, results of operations, cash flows, future prospects, and the trading price of our Class A common stock can be affected by a number of factors, whether currently known or unknown, including but not limited to those described in Part I, Item 1A of our 2025 Annual Report and in Part II, Item 1A of our Quarterly Report on Form 10-Q filed with the SEC on May 5, 2026 under the heading "Risk Factors," which are incorporated herein by reference, any one or more of which could, directly or indirectly, materially and adversely affect our business, financial condition, results of operations, cash flows, future prospects, and the trading price of our Class A common stock, or cause them to vary materially from past or anticipated future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2425"/>
                <wp:effectExtent l="0" t="0" r="0" b="0"/>
                <wp:wrapNone/>
                <wp:docPr id="44" name="Frame44"/>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Open Sans;sans-serif" w:hAnsi="Open Sans;sans-serif"/>
          <w:b w:val="false"/>
          <w:color w:val="231F20"/>
          <w:sz w:val="20"/>
        </w:rPr>
      </w:pPr>
      <w:r>
        <w:rPr>
          <w:rFonts w:ascii="Open Sans;sans-serif" w:hAnsi="Open Sans;sans-serif"/>
          <w:b w:val="false"/>
          <w:color w:val="231F20"/>
          <w:sz w:val="20"/>
        </w:rPr>
        <w:t>There have been no material changes from the risk factors previously disclosed under “Part I, Item 1A. Risk Factors” in our 2025 Annual Report and “Part II, Item 1A. Risk Factors” in our Quarterly Report on Form 10-Q, each as discussed in the preceding paragraph.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2425"/>
                <wp:effectExtent l="0" t="0" r="0" b="0"/>
                <wp:wrapNone/>
                <wp:docPr id="45" name="Frame4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360" w:after="283"/>
        <w:jc w:val="both"/>
        <w:rPr>
          <w:rFonts w:ascii="Open Sans;sans-serif" w:hAnsi="Open Sans;sans-serif"/>
          <w:b/>
          <w:color w:val="231F20"/>
          <w:sz w:val="20"/>
        </w:rPr>
      </w:pPr>
      <w:r>
        <w:rPr>
          <w:rFonts w:ascii="Open Sans;sans-serif" w:hAnsi="Open Sans;sans-serif"/>
          <w:b/>
          <w:color w:val="231F20"/>
          <w:sz w:val="20"/>
        </w:rPr>
        <w:t>Item 2. Unregistered Sales of Equity Securities and Use of Proceeds</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Recent Sales of Unregistered Securities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None.</w:t>
      </w:r>
    </w:p>
    <w:p>
      <w:pPr>
        <w:pStyle w:val="TextBody"/>
        <w:bidi w:val="0"/>
        <w:spacing w:lineRule="auto" w:line="288" w:before="240" w:after="283"/>
        <w:jc w:val="both"/>
        <w:rPr>
          <w:rFonts w:ascii="Open Sans;sans-serif" w:hAnsi="Open Sans;sans-serif"/>
          <w:b/>
          <w:i/>
          <w:color w:val="000000"/>
          <w:sz w:val="20"/>
        </w:rPr>
      </w:pPr>
      <w:r>
        <w:rPr>
          <w:rFonts w:ascii="Open Sans;sans-serif" w:hAnsi="Open Sans;sans-serif"/>
          <w:b/>
          <w:i/>
          <w:color w:val="000000"/>
          <w:sz w:val="20"/>
        </w:rPr>
        <w:t>Purchase of Equity Securities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 xml:space="preserve">The following table summarizes the repurchases of our Class A common stock during the three months ended June 30, 2026 (in thousands, except per share amounts): </w:t>
      </w:r>
    </w:p>
    <w:tbl>
      <w:tblPr>
        <w:tblW w:w="10205" w:type="dxa"/>
        <w:jc w:val="left"/>
        <w:tblInd w:w="0" w:type="dxa"/>
        <w:tblLayout w:type="fixed"/>
        <w:tblCellMar>
          <w:top w:w="28" w:type="dxa"/>
          <w:left w:w="28" w:type="dxa"/>
          <w:bottom w:w="28" w:type="dxa"/>
          <w:right w:w="28" w:type="dxa"/>
        </w:tblCellMar>
      </w:tblPr>
      <w:tblGrid>
        <w:gridCol w:w="349"/>
        <w:gridCol w:w="306"/>
        <w:gridCol w:w="308"/>
        <w:gridCol w:w="148"/>
        <w:gridCol w:w="148"/>
        <w:gridCol w:w="150"/>
        <w:gridCol w:w="462"/>
        <w:gridCol w:w="462"/>
        <w:gridCol w:w="463"/>
        <w:gridCol w:w="109"/>
        <w:gridCol w:w="109"/>
        <w:gridCol w:w="109"/>
        <w:gridCol w:w="261"/>
        <w:gridCol w:w="819"/>
        <w:gridCol w:w="127"/>
        <w:gridCol w:w="148"/>
        <w:gridCol w:w="148"/>
        <w:gridCol w:w="150"/>
        <w:gridCol w:w="796"/>
        <w:gridCol w:w="796"/>
        <w:gridCol w:w="798"/>
        <w:gridCol w:w="109"/>
        <w:gridCol w:w="109"/>
        <w:gridCol w:w="109"/>
        <w:gridCol w:w="396"/>
        <w:gridCol w:w="1448"/>
        <w:gridCol w:w="868"/>
      </w:tblGrid>
      <w:tr>
        <w:trPr/>
        <w:tc>
          <w:tcPr>
            <w:tcW w:w="3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96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Open Sans;sans-serif" w:hAnsi="Open Sans;sans-serif"/>
                <w:b/>
                <w:color w:val="000000"/>
                <w:sz w:val="18"/>
              </w:rPr>
            </w:pPr>
            <w:r>
              <w:rPr>
                <w:rFonts w:ascii="Open Sans;sans-serif" w:hAnsi="Open Sans;sans-serif"/>
                <w:b/>
                <w:color w:val="000000"/>
                <w:sz w:val="18"/>
              </w:rPr>
              <w:t>Period</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center"/>
              <w:rPr>
                <w:rFonts w:ascii="Open Sans;sans-serif" w:hAnsi="Open Sans;sans-serif"/>
                <w:b/>
                <w:color w:val="000000"/>
                <w:sz w:val="14"/>
              </w:rPr>
            </w:pPr>
            <w:r>
              <w:rPr>
                <w:rFonts w:ascii="Open Sans;sans-serif" w:hAnsi="Open Sans;sans-serif"/>
                <w:b/>
                <w:color w:val="000000"/>
                <w:sz w:val="14"/>
              </w:rPr>
              <w:t>Total Number of</w:t>
            </w:r>
          </w:p>
          <w:p>
            <w:pPr>
              <w:pStyle w:val="TableContents"/>
              <w:bidi w:val="0"/>
              <w:spacing w:lineRule="auto" w:line="268" w:before="0" w:after="0"/>
              <w:ind w:left="0" w:right="0" w:firstLine="360"/>
              <w:jc w:val="center"/>
              <w:rPr/>
            </w:pPr>
            <w:r>
              <w:rPr>
                <w:color w:val="000000"/>
              </w:rPr>
              <w:t> </w:t>
            </w:r>
            <w:r>
              <w:rPr>
                <w:rFonts w:ascii="Open Sans;sans-serif" w:hAnsi="Open Sans;sans-serif"/>
                <w:b/>
                <w:color w:val="000000"/>
                <w:sz w:val="14"/>
              </w:rPr>
              <w:t>Shares Purchased</w:t>
            </w:r>
            <w:r>
              <w:rPr>
                <w:color w:val="000000"/>
              </w:rPr>
              <w:t xml:space="preserve"> </w:t>
            </w:r>
            <w:r>
              <w:rPr>
                <w:rFonts w:ascii="Open Sans;sans-serif" w:hAnsi="Open Sans;sans-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center"/>
              <w:rPr>
                <w:rFonts w:ascii="Open Sans;sans-serif" w:hAnsi="Open Sans;sans-serif"/>
                <w:b/>
                <w:color w:val="000000"/>
                <w:sz w:val="14"/>
              </w:rPr>
            </w:pPr>
            <w:r>
              <w:rPr>
                <w:rFonts w:ascii="Open Sans;sans-serif" w:hAnsi="Open Sans;sans-serif"/>
                <w:b/>
                <w:color w:val="000000"/>
                <w:sz w:val="14"/>
              </w:rPr>
              <w:t xml:space="preserve">Average Price </w:t>
            </w:r>
          </w:p>
          <w:p>
            <w:pPr>
              <w:pStyle w:val="TableContents"/>
              <w:bidi w:val="0"/>
              <w:spacing w:lineRule="auto" w:line="268" w:before="0" w:after="0"/>
              <w:ind w:left="0" w:right="0" w:firstLine="360"/>
              <w:jc w:val="center"/>
              <w:rPr/>
            </w:pPr>
            <w:r>
              <w:rPr>
                <w:rFonts w:ascii="Open Sans;sans-serif" w:hAnsi="Open Sans;sans-serif"/>
                <w:b/>
                <w:color w:val="000000"/>
                <w:sz w:val="14"/>
              </w:rPr>
              <w:t xml:space="preserve">Paid per Share </w:t>
            </w:r>
            <w:r>
              <w:rPr>
                <w:rFonts w:ascii="Open Sans;sans-serif" w:hAnsi="Open Sans;sans-serif"/>
                <w:b/>
                <w:color w:val="000000"/>
                <w:sz w:val="9"/>
              </w:rPr>
              <w:t>(2)</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center"/>
              <w:rPr/>
            </w:pPr>
            <w:r>
              <w:rPr>
                <w:rFonts w:ascii="Open Sans;sans-serif" w:hAnsi="Open Sans;sans-serif"/>
                <w:b/>
                <w:color w:val="000000"/>
                <w:sz w:val="14"/>
              </w:rPr>
              <w:t xml:space="preserve">Total Number of Shares Purchased as Part of Publicly Announced Plans or Programs </w:t>
            </w:r>
            <w:r>
              <w:rPr>
                <w:rFonts w:ascii="Open Sans;sans-serif" w:hAnsi="Open Sans;sans-serif"/>
                <w:b/>
                <w:color w:val="000000"/>
                <w:sz w:val="9"/>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3"/>
            <w:tcBorders/>
            <w:tcMar>
              <w:top w:w="0" w:type="dxa"/>
              <w:left w:w="0" w:type="dxa"/>
              <w:bottom w:w="0" w:type="dxa"/>
              <w:right w:w="0" w:type="dxa"/>
            </w:tcMar>
            <w:vAlign w:val="center"/>
          </w:tcPr>
          <w:p>
            <w:pPr>
              <w:pStyle w:val="TableContents"/>
              <w:bidi w:val="0"/>
              <w:spacing w:lineRule="auto" w:line="268" w:before="0" w:after="0"/>
              <w:ind w:left="0" w:right="0" w:firstLine="360"/>
              <w:jc w:val="center"/>
              <w:rPr/>
            </w:pPr>
            <w:r>
              <w:rPr>
                <w:rFonts w:ascii="Open Sans;sans-serif" w:hAnsi="Open Sans;sans-serif"/>
                <w:b/>
                <w:color w:val="000000"/>
                <w:sz w:val="14"/>
              </w:rPr>
              <w:t xml:space="preserve">Approximate Dollar Value of Shares that May Yet Be Purchased Under the Plans or Programs </w:t>
            </w:r>
            <w:r>
              <w:rPr>
                <w:rFonts w:ascii="Open Sans;sans-serif" w:hAnsi="Open Sans;sans-serif"/>
                <w:b/>
                <w:color w:val="000000"/>
                <w:sz w:val="9"/>
              </w:rPr>
              <w:t>(1)</w:t>
            </w:r>
          </w:p>
        </w:tc>
      </w:tr>
      <w:tr>
        <w:trPr/>
        <w:tc>
          <w:tcPr>
            <w:tcW w:w="9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right"/>
              <w:rPr>
                <w:rFonts w:ascii="Open Sans;sans-serif" w:hAnsi="Open Sans;sans-serif"/>
                <w:b w:val="false"/>
                <w:color w:val="000000"/>
                <w:sz w:val="18"/>
              </w:rPr>
            </w:pPr>
            <w:r>
              <w:rPr>
                <w:rFonts w:ascii="Open Sans;sans-serif" w:hAnsi="Open Sans;sans-serif"/>
                <w:b w:val="false"/>
                <w:color w:val="000000"/>
                <w:sz w:val="18"/>
              </w:rPr>
              <w:t>April 1 - 30, 2026</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455 </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16.75 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5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455 </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4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44,816 </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Open Sans;sans-serif" w:hAnsi="Open Sans;sans-serif"/>
                <w:b w:val="false"/>
                <w:color w:val="000000"/>
                <w:sz w:val="18"/>
              </w:rPr>
            </w:pPr>
            <w:r>
              <w:rPr>
                <w:rFonts w:ascii="Open Sans;sans-serif" w:hAnsi="Open Sans;sans-serif"/>
                <w:b w:val="false"/>
                <w:color w:val="000000"/>
                <w:sz w:val="18"/>
              </w:rPr>
              <w:t>May 1 - 31, 2026</w:t>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1,126 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15.98 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1,126 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44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26,826 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Open Sans;sans-serif" w:hAnsi="Open Sans;sans-serif"/>
                <w:b w:val="false"/>
                <w:color w:val="000000"/>
                <w:sz w:val="18"/>
              </w:rPr>
            </w:pPr>
            <w:r>
              <w:rPr>
                <w:rFonts w:ascii="Open Sans;sans-serif" w:hAnsi="Open Sans;sans-serif"/>
                <w:b w:val="false"/>
                <w:color w:val="000000"/>
                <w:sz w:val="18"/>
              </w:rPr>
              <w:t>June 1 - 30, 2026</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1,630 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15.61 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1,630 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w:t>
            </w:r>
          </w:p>
        </w:tc>
        <w:tc>
          <w:tcPr>
            <w:tcW w:w="144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1,376 </w:t>
            </w:r>
          </w:p>
        </w:tc>
        <w:tc>
          <w:tcPr>
            <w:tcW w:w="868"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Open Sans;sans-serif" w:hAnsi="Open Sans;sans-serif"/>
                <w:b w:val="false"/>
                <w:color w:val="000000"/>
                <w:sz w:val="18"/>
              </w:rPr>
            </w:pPr>
            <w:r>
              <w:rPr>
                <w:rFonts w:ascii="Open Sans;sans-serif" w:hAnsi="Open Sans;sans-serif"/>
                <w:b w:val="false"/>
                <w:color w:val="000000"/>
                <w:sz w:val="18"/>
              </w:rPr>
              <w:t>Total</w:t>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92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3,211 </w:t>
            </w:r>
          </w:p>
        </w:tc>
        <w:tc>
          <w:tcPr>
            <w:tcW w:w="4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59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68" w:before="0" w:after="283"/>
              <w:jc w:val="right"/>
              <w:rPr>
                <w:rFonts w:ascii="Open Sans;sans-serif" w:hAnsi="Open Sans;sans-serif"/>
                <w:b w:val="false"/>
                <w:color w:val="000000"/>
                <w:sz w:val="18"/>
              </w:rPr>
            </w:pPr>
            <w:r>
              <w:rPr>
                <w:rFonts w:ascii="Open Sans;sans-serif" w:hAnsi="Open Sans;sans-serif"/>
                <w:b w:val="false"/>
                <w:color w:val="000000"/>
                <w:sz w:val="18"/>
              </w:rPr>
              <w:t>3,211 </w:t>
            </w:r>
          </w:p>
        </w:tc>
        <w:tc>
          <w:tcPr>
            <w:tcW w:w="7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Open Sans;sans-serif" w:hAnsi="Open Sans;sans-serif"/>
          <w:b w:val="false"/>
          <w:color w:val="000000"/>
          <w:sz w:val="13"/>
        </w:rPr>
        <w:t>(1)</w:t>
      </w:r>
      <w:r>
        <w:rPr>
          <w:color w:val="000000"/>
        </w:rPr>
        <w:t xml:space="preserve"> </w:t>
      </w:r>
      <w:r>
        <w:rPr>
          <w:rFonts w:ascii="Open Sans;sans-serif" w:hAnsi="Open Sans;sans-serif"/>
          <w:b w:val="false"/>
          <w:color w:val="000000"/>
          <w:sz w:val="20"/>
        </w:rPr>
        <w:t xml:space="preserve">On December 4, 2025, our Board of Directors authorized an additional share repurchase program of up to $100 million of the Company’s Class A common stock (the “December 2025 Share Repurchase Program”). Under the December 2025 Share Repurchase Program, we are authorized to repurchase shares through open market purchases, in privately negotiated transactions, or by other means, in accordance with applicable federal securities laws, including through trading plans under Rule 10b5-1 of the Exchange Act. The number of shares repurchased and the timing of purchases are based on general business and market conditions, and other factors, including legal requirements. The December 2025 Share Repurchase Program has no set expiration date. </w:t>
      </w:r>
    </w:p>
    <w:p>
      <w:pPr>
        <w:pStyle w:val="TextBody"/>
        <w:bidi w:val="0"/>
        <w:spacing w:lineRule="auto" w:line="288" w:before="120" w:after="283"/>
        <w:jc w:val="both"/>
        <w:rPr/>
      </w:pPr>
      <w:r>
        <w:rPr>
          <w:rFonts w:ascii="Open Sans;sans-serif" w:hAnsi="Open Sans;sans-serif"/>
          <w:b w:val="false"/>
          <w:color w:val="000000"/>
          <w:sz w:val="13"/>
        </w:rPr>
        <w:t>(2)</w:t>
      </w:r>
      <w:r>
        <w:rPr>
          <w:color w:val="000000"/>
        </w:rPr>
        <w:t xml:space="preserve"> </w:t>
      </w:r>
      <w:r>
        <w:rPr>
          <w:rFonts w:ascii="Open Sans;sans-serif" w:hAnsi="Open Sans;sans-serif"/>
          <w:b w:val="false"/>
          <w:color w:val="000000"/>
          <w:sz w:val="20"/>
        </w:rPr>
        <w:t xml:space="preserve">Reflects the one-for-four reverse stock split that was effective June 30, 2026, which has been applied retrospectively to all periods presented. See Note 1, Business Overview and Basis of Presentation, in the Condensed Consolidated Financial Statements included in Part I, Item 1 of this Quarterly Report on Form 10-Q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3. Defaults Upon Senior Securities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4. Mine Safety Disclosures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Open Sans;sans-serif" w:hAnsi="Open Sans;sans-serif"/>
          <w:b/>
          <w:color w:val="231F20"/>
          <w:sz w:val="20"/>
        </w:rPr>
      </w:pPr>
      <w:r>
        <w:rPr>
          <w:rFonts w:ascii="Open Sans;sans-serif" w:hAnsi="Open Sans;sans-serif"/>
          <w:b/>
          <w:color w:val="231F20"/>
          <w:sz w:val="20"/>
        </w:rPr>
        <w:t>Item 5. Other Information</w:t>
      </w:r>
    </w:p>
    <w:p>
      <w:pPr>
        <w:pStyle w:val="TextBody"/>
        <w:bidi w:val="0"/>
        <w:spacing w:before="0" w:after="0"/>
        <w:jc w:val="both"/>
        <w:rPr/>
      </w:pPr>
      <w:r>
        <w:rPr/>
      </w:r>
    </w:p>
    <w:p>
      <w:pPr>
        <w:pStyle w:val="TextBody"/>
        <w:bidi w:val="0"/>
        <w:spacing w:lineRule="auto" w:line="276" w:before="0" w:after="0"/>
        <w:jc w:val="both"/>
        <w:rPr>
          <w:rFonts w:ascii="Open Sans;sans-serif" w:hAnsi="Open Sans;sans-serif"/>
          <w:b w:val="false"/>
          <w:color w:val="000000"/>
          <w:sz w:val="20"/>
        </w:rPr>
      </w:pPr>
      <w:r>
        <w:rPr>
          <w:rFonts w:ascii="Open Sans;sans-serif" w:hAnsi="Open Sans;sans-serif"/>
          <w:b w:val="false"/>
          <w:color w:val="000000"/>
          <w:sz w:val="20"/>
        </w:rPr>
        <w:t>(c) During our last fiscal quarter, on June 2, 2026, Crystal Sumner, our Chief Administrative Officer, adopted a “Rule 10b5-1 trading arrangement” as defined in Regulation S-K Item 408 providing for the sale from time to time of an aggregate of up to 26,250* shares of our Class A Common Stock. The trading arrangement is intended to satisfy the affirmative defense in Rule 10b5-1(c). The duration of the trading arrangement is until June 18, 2027, or earlier if all transactions under the trading arrangement are completed, but in no case earlier than one year, or later than two years, from June 2, 2026.</w:t>
      </w:r>
    </w:p>
    <w:p>
      <w:pPr>
        <w:pStyle w:val="TextBody"/>
        <w:bidi w:val="0"/>
        <w:spacing w:before="0" w:after="0"/>
        <w:jc w:val="both"/>
        <w:rPr/>
      </w:pPr>
      <w:r>
        <w:rPr/>
      </w:r>
    </w:p>
    <w:p>
      <w:pPr>
        <w:pStyle w:val="TextBody"/>
        <w:bidi w:val="0"/>
        <w:spacing w:lineRule="auto" w:line="276" w:before="0" w:after="0"/>
        <w:jc w:val="both"/>
        <w:rPr>
          <w:rFonts w:ascii="Open Sans;sans-serif" w:hAnsi="Open Sans;sans-serif"/>
          <w:b w:val="false"/>
          <w:color w:val="000000"/>
          <w:sz w:val="20"/>
        </w:rPr>
      </w:pPr>
      <w:r>
        <w:rPr>
          <w:rFonts w:ascii="Open Sans;sans-serif" w:hAnsi="Open Sans;sans-serif"/>
          <w:b w:val="false"/>
          <w:color w:val="000000"/>
          <w:sz w:val="20"/>
        </w:rPr>
        <w:t>No other officers, as defined in Rule 16a-1(f), or directors adopted or terminated a Rule 10b5-1 trading arrangement or a “non-Rule 10b5-1 trading arrangement,” as defined in Item 408 of Regulation S-K, during our last fiscal quarter.</w:t>
      </w:r>
    </w:p>
    <w:p>
      <w:pPr>
        <w:pStyle w:val="TextBody"/>
        <w:bidi w:val="0"/>
        <w:spacing w:before="0" w:after="0"/>
        <w:jc w:val="both"/>
        <w:rPr/>
      </w:pPr>
      <w:r>
        <w:rPr/>
      </w:r>
    </w:p>
    <w:p>
      <w:pPr>
        <w:pStyle w:val="TextBody"/>
        <w:bidi w:val="0"/>
        <w:spacing w:lineRule="auto" w:line="276" w:before="0" w:after="0"/>
        <w:jc w:val="both"/>
        <w:rPr>
          <w:rFonts w:ascii="Open Sans;sans-serif" w:hAnsi="Open Sans;sans-serif"/>
          <w:b w:val="false"/>
          <w:color w:val="000000"/>
          <w:sz w:val="20"/>
        </w:rPr>
      </w:pPr>
      <w:r>
        <w:rPr>
          <w:rFonts w:ascii="Open Sans;sans-serif" w:hAnsi="Open Sans;sans-serif"/>
          <w:b w:val="false"/>
          <w:color w:val="000000"/>
          <w:sz w:val="20"/>
        </w:rPr>
        <w:t>*Reflects the Reverse Stock Split, which has been applied retrospectively. See Note 1, Business Overview and Basis of Presentation, in the Condensed Consolidated Financial Statements included in Part I, Item 1 of this Quarterly Report on Form 10-Q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2425"/>
                <wp:effectExtent l="0" t="0" r="0" b="0"/>
                <wp:wrapNone/>
                <wp:docPr id="46" name="Frame4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Open Sans;sans-serif" w:hAnsi="Open Sans;sans-serif"/>
          <w:b/>
          <w:color w:val="231F20"/>
          <w:sz w:val="20"/>
        </w:rPr>
      </w:pPr>
      <w:r>
        <w:rPr>
          <w:rFonts w:ascii="Open Sans;sans-serif" w:hAnsi="Open Sans;sans-serif"/>
          <w:b/>
          <w:color w:val="231F20"/>
          <w:sz w:val="20"/>
        </w:rPr>
        <w:t>Item 6. Exhibits</w:t>
      </w:r>
    </w:p>
    <w:p>
      <w:pPr>
        <w:pStyle w:val="TextBody"/>
        <w:bidi w:val="0"/>
        <w:spacing w:lineRule="auto" w:line="288" w:before="120" w:after="120"/>
        <w:jc w:val="left"/>
        <w:rPr>
          <w:rFonts w:ascii="Open Sans;sans-serif" w:hAnsi="Open Sans;sans-serif"/>
          <w:b w:val="false"/>
          <w:color w:val="000000"/>
          <w:sz w:val="18"/>
        </w:rPr>
      </w:pPr>
      <w:r>
        <w:rPr>
          <w:rFonts w:ascii="Open Sans;sans-serif" w:hAnsi="Open Sans;sans-serif"/>
          <w:b w:val="false"/>
          <w:color w:val="000000"/>
          <w:sz w:val="18"/>
        </w:rPr>
        <w:t>The following exhibits are filed herewith or incorporated by reference herein:</w:t>
      </w:r>
    </w:p>
    <w:tbl>
      <w:tblPr>
        <w:tblW w:w="10205" w:type="dxa"/>
        <w:jc w:val="left"/>
        <w:tblInd w:w="0" w:type="dxa"/>
        <w:tblLayout w:type="fixed"/>
        <w:tblCellMar>
          <w:top w:w="28" w:type="dxa"/>
          <w:left w:w="28" w:type="dxa"/>
          <w:bottom w:w="28" w:type="dxa"/>
          <w:right w:w="28" w:type="dxa"/>
        </w:tblCellMar>
      </w:tblPr>
      <w:tblGrid>
        <w:gridCol w:w="240"/>
        <w:gridCol w:w="211"/>
        <w:gridCol w:w="212"/>
        <w:gridCol w:w="109"/>
        <w:gridCol w:w="109"/>
        <w:gridCol w:w="109"/>
        <w:gridCol w:w="1955"/>
        <w:gridCol w:w="1755"/>
        <w:gridCol w:w="1773"/>
        <w:gridCol w:w="109"/>
        <w:gridCol w:w="109"/>
        <w:gridCol w:w="109"/>
        <w:gridCol w:w="160"/>
        <w:gridCol w:w="160"/>
        <w:gridCol w:w="161"/>
        <w:gridCol w:w="109"/>
        <w:gridCol w:w="109"/>
        <w:gridCol w:w="109"/>
        <w:gridCol w:w="236"/>
        <w:gridCol w:w="236"/>
        <w:gridCol w:w="200"/>
        <w:gridCol w:w="109"/>
        <w:gridCol w:w="109"/>
        <w:gridCol w:w="109"/>
        <w:gridCol w:w="216"/>
        <w:gridCol w:w="216"/>
        <w:gridCol w:w="217"/>
        <w:gridCol w:w="109"/>
        <w:gridCol w:w="109"/>
        <w:gridCol w:w="109"/>
        <w:gridCol w:w="179"/>
        <w:gridCol w:w="179"/>
        <w:gridCol w:w="264"/>
      </w:tblGrid>
      <w:tr>
        <w:trPr/>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Incorporated by Reference</w:t>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Exhibit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color w:val="000000"/>
                <w:sz w:val="14"/>
              </w:rPr>
            </w:pPr>
            <w:r>
              <w:rPr>
                <w:rFonts w:ascii="Open Sans;sans-serif" w:hAnsi="Open Sans;sans-serif"/>
                <w:b/>
                <w:color w:val="000000"/>
                <w:sz w:val="14"/>
              </w:rPr>
              <w:t>Filing Date</w:t>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Open Sans;sans-serif" w:hAnsi="Open Sans;sans-serif"/>
                  <w:b w:val="false"/>
                  <w:color w:val="000000"/>
                  <w:sz w:val="16"/>
                </w:rPr>
                <w:t>Restated Certificate of Incorporation of Marqeta,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001-40465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July 1, 2026</w:t>
            </w:r>
          </w:p>
        </w:tc>
      </w:tr>
      <w:tr>
        <w:trPr/>
        <w:tc>
          <w:tcPr>
            <w:tcW w:w="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q22026.htm">
              <w:r>
                <w:rPr>
                  <w:rStyle w:val="InternetLink"/>
                  <w:rFonts w:ascii="Open Sans;sans-serif" w:hAnsi="Open Sans;sans-serif"/>
                  <w:b w:val="false"/>
                  <w:color w:val="0000FF"/>
                  <w:sz w:val="16"/>
                  <w:u w:val="single"/>
                </w:rPr>
                <w:t>Amendment No. 28 to the Master Services Agreement by and between the Registrant and Block, Inc. dated June 25,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2026.htm">
              <w:r>
                <w:rPr>
                  <w:rStyle w:val="InternetLink"/>
                  <w:rFonts w:ascii="Open Sans;sans-serif" w:hAnsi="Open Sans;sans-serif"/>
                  <w:b w:val="false"/>
                  <w:color w:val="0000FF"/>
                  <w:sz w:val="16"/>
                  <w:u w:val="single"/>
                </w:rPr>
                <w:t>Certification of the Principal Executive Officer, pursuant to Rules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2026.htm">
              <w:r>
                <w:rPr>
                  <w:rStyle w:val="InternetLink"/>
                  <w:rFonts w:ascii="Open Sans;sans-serif" w:hAnsi="Open Sans;sans-serif"/>
                  <w:b w:val="false"/>
                  <w:color w:val="0000FF"/>
                  <w:sz w:val="16"/>
                  <w:u w:val="single"/>
                </w:rPr>
                <w:t>Certification of the Principal Financial Officer, pursuant to Rules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22026.htm">
              <w:r>
                <w:rPr>
                  <w:rStyle w:val="InternetLink"/>
                  <w:rFonts w:ascii="Open Sans;sans-serif" w:hAnsi="Open Sans;sans-serif"/>
                  <w:b w:val="false"/>
                  <w:color w:val="0000FF"/>
                  <w:sz w:val="16"/>
                  <w:u w:val="single"/>
                </w:rPr>
                <w:t>Certification of the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22026.htm">
              <w:r>
                <w:rPr>
                  <w:rStyle w:val="InternetLink"/>
                  <w:rFonts w:ascii="Open Sans;sans-serif" w:hAnsi="Open Sans;sans-serif"/>
                  <w:b w:val="false"/>
                  <w:color w:val="0000FF"/>
                  <w:sz w:val="16"/>
                  <w:u w:val="single"/>
                </w:rPr>
                <w:t>Certification of the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Taxonomy Extension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68"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Certain confidential information contained in this exhibit has been omitted because it is both (i) not material and (ii) is the type that the Registrant treats as private or confidential.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6"/>
              </w:rPr>
            </w:pPr>
            <w:r>
              <w:rPr>
                <w:rFonts w:ascii="Open Sans;sans-serif" w:hAnsi="Open Sans;sans-serif"/>
                <w:b w:val="false"/>
                <w:color w:val="000000"/>
                <w:sz w:val="16"/>
              </w:rPr>
              <w:t>Indicates management contract or compensatory plan, contract or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6"/>
              </w:rPr>
            </w:pPr>
            <w:r>
              <w:rPr>
                <w:rFonts w:ascii="Open Sans;sans-serif" w:hAnsi="Open Sans;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6"/>
              </w:rPr>
            </w:pPr>
            <w:r>
              <w:rPr>
                <w:rFonts w:ascii="Open Sans;sans-serif" w:hAnsi="Open Sans;sans-serif"/>
                <w:b w:val="false"/>
                <w:color w:val="000000"/>
                <w:sz w:val="16"/>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2425"/>
                <wp:effectExtent l="0" t="0" r="0" b="0"/>
                <wp:wrapNone/>
                <wp:docPr id="47" name="Frame4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47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47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pPr>
      <w:hyperlink w:anchor="i836b0fd50ebe4404be9f3d5fe7d3f0d1_7">
        <w:r>
          <w:rPr>
            <w:rStyle w:val="InternetLink"/>
            <w:rFonts w:ascii="Open Sans;sans-serif" w:hAnsi="Open Sans;sans-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Open Sans;sans-serif" w:hAnsi="Open Sans;sans-serif"/>
          <w:b/>
          <w:color w:val="231F20"/>
          <w:sz w:val="20"/>
        </w:rPr>
      </w:pPr>
      <w:r>
        <w:rPr>
          <w:rFonts w:ascii="Open Sans;sans-serif" w:hAnsi="Open Sans;sans-serif"/>
          <w:b/>
          <w:color w:val="231F20"/>
          <w:sz w:val="20"/>
        </w:rPr>
        <w:t>SIGNATURES</w:t>
      </w:r>
    </w:p>
    <w:p>
      <w:pPr>
        <w:pStyle w:val="TextBody"/>
        <w:bidi w:val="0"/>
        <w:spacing w:lineRule="auto" w:line="288" w:before="240" w:after="283"/>
        <w:jc w:val="both"/>
        <w:rPr>
          <w:rFonts w:ascii="Open Sans;sans-serif" w:hAnsi="Open Sans;sans-serif"/>
          <w:b w:val="false"/>
          <w:color w:val="000000"/>
          <w:sz w:val="18"/>
        </w:rPr>
      </w:pPr>
      <w:r>
        <w:rPr>
          <w:rFonts w:ascii="Open Sans;sans-serif" w:hAnsi="Open Sans;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8539" w:type="dxa"/>
        <w:jc w:val="left"/>
        <w:tblInd w:w="0" w:type="dxa"/>
        <w:tblLayout w:type="fixed"/>
        <w:tblCellMar>
          <w:top w:w="28" w:type="dxa"/>
          <w:left w:w="28" w:type="dxa"/>
          <w:bottom w:w="28" w:type="dxa"/>
          <w:right w:w="28" w:type="dxa"/>
        </w:tblCellMar>
      </w:tblPr>
      <w:tblGrid>
        <w:gridCol w:w="781"/>
        <w:gridCol w:w="687"/>
        <w:gridCol w:w="691"/>
        <w:gridCol w:w="254"/>
        <w:gridCol w:w="254"/>
        <w:gridCol w:w="256"/>
        <w:gridCol w:w="177"/>
        <w:gridCol w:w="177"/>
        <w:gridCol w:w="177"/>
        <w:gridCol w:w="1471"/>
        <w:gridCol w:w="1471"/>
        <w:gridCol w:w="2143"/>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MARQETA, INC.</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8"/>
              </w:rPr>
              <w:t>Date:</w:t>
            </w:r>
            <w:r>
              <w:rPr>
                <w:color w:val="000000"/>
              </w:rPr>
              <w:t xml:space="preserve"> </w:t>
            </w:r>
            <w:r>
              <w:rPr>
                <w:rFonts w:ascii="Open Sans;sans-serif" w:hAnsi="Open Sans;sans-serif"/>
                <w:b w:val="false"/>
                <w:color w:val="000000"/>
                <w:sz w:val="18"/>
              </w:rPr>
              <w:t>August 4, 2026</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By:</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/s/ Patti Kangwankij</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Name:</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Patti Kangwankij</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Title:</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pen Sans;sans-serif" w:hAnsi="Open Sans;sans-serif"/>
                <w:b w:val="false"/>
                <w:color w:val="000000"/>
                <w:sz w:val="18"/>
              </w:rPr>
            </w:pPr>
            <w:r>
              <w:rPr>
                <w:rFonts w:ascii="Open Sans;sans-serif" w:hAnsi="Open Sans;sans-serif"/>
                <w:b w:val="false"/>
                <w:color w:val="000000"/>
                <w:sz w:val="18"/>
              </w:rPr>
              <w:t>Chief Financial Officer (Principal Financial Officer)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color w:val="000000"/>
                <w:sz w:val="18"/>
              </w:rPr>
              <w:t>Date:</w:t>
            </w:r>
            <w:r>
              <w:rPr>
                <w:color w:val="000000"/>
              </w:rPr>
              <w:t xml:space="preserve"> </w:t>
            </w:r>
            <w:r>
              <w:rPr>
                <w:rFonts w:ascii="Open Sans;sans-serif" w:hAnsi="Open Sans;sans-serif"/>
                <w:b w:val="false"/>
                <w:color w:val="000000"/>
                <w:sz w:val="18"/>
              </w:rPr>
              <w:t>August 4, 2026</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By:</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/s/ Sarah Barkema</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Name:</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Sarah Barkema</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color w:val="000000"/>
                <w:sz w:val="18"/>
              </w:rPr>
            </w:pPr>
            <w:r>
              <w:rPr>
                <w:rFonts w:ascii="Open Sans;sans-serif" w:hAnsi="Open Sans;sans-serif"/>
                <w:b/>
                <w:color w:val="000000"/>
                <w:sz w:val="18"/>
              </w:rPr>
              <w:t>Title:</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Open Sans;sans-serif" w:hAnsi="Open Sans;sans-serif"/>
                <w:b w:val="false"/>
                <w:color w:val="000000"/>
                <w:sz w:val="18"/>
              </w:rPr>
            </w:pPr>
            <w:r>
              <w:rPr>
                <w:rFonts w:ascii="Open Sans;sans-serif" w:hAnsi="Open Sans;sans-serif"/>
                <w:b w:val="false"/>
                <w:color w:val="000000"/>
                <w:sz w:val="18"/>
              </w:rPr>
              <w:t>Chief Accounting Officer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sans-serif" w:hAnsi="sans-serif"/>
          <w:b/>
          <w:color w:val="000000"/>
          <w:sz w:val="22"/>
        </w:rPr>
      </w:pPr>
      <w:r>
        <w:rPr>
          <w:rFonts w:ascii="sans-serif" w:hAnsi="sans-serif"/>
          <w:b/>
          <w:color w:val="000000"/>
          <w:sz w:val="22"/>
        </w:rPr>
        <w:t>Exhibit 10.1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2425"/>
                <wp:effectExtent l="0" t="0" r="0" b="0"/>
                <wp:wrapNone/>
                <wp:docPr id="48" name="Frame4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48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AMENDMENT NO. 28 TO MASTER SERVICES AGREEMENT</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This Amendment No. 28 (“</w:t>
      </w:r>
      <w:r>
        <w:rPr>
          <w:rFonts w:ascii="Times New Roman;serif" w:hAnsi="Times New Roman;serif"/>
          <w:b/>
          <w:color w:val="000000"/>
          <w:sz w:val="20"/>
        </w:rPr>
        <w:t>Amendment</w:t>
      </w:r>
      <w:r>
        <w:rPr>
          <w:color w:val="000000"/>
        </w:rPr>
        <w:t>”</w:t>
      </w:r>
      <w:r>
        <w:rPr>
          <w:rFonts w:ascii="Times New Roman;serif" w:hAnsi="Times New Roman;serif"/>
          <w:b w:val="false"/>
          <w:color w:val="000000"/>
          <w:sz w:val="20"/>
        </w:rPr>
        <w:t>) is dated and effective on June 25, 2026 (“</w:t>
      </w:r>
      <w:r>
        <w:rPr>
          <w:rFonts w:ascii="Times New Roman;serif" w:hAnsi="Times New Roman;serif"/>
          <w:b/>
          <w:color w:val="000000"/>
          <w:sz w:val="20"/>
        </w:rPr>
        <w:t>Amendment Effective Date</w:t>
      </w:r>
      <w:r>
        <w:rPr>
          <w:color w:val="000000"/>
        </w:rPr>
        <w:t>”</w:t>
      </w:r>
      <w:r>
        <w:rPr>
          <w:rFonts w:ascii="Times New Roman;serif" w:hAnsi="Times New Roman;serif"/>
          <w:b w:val="false"/>
          <w:color w:val="000000"/>
          <w:sz w:val="20"/>
        </w:rPr>
        <w:t>) by and between Block, Inc., a Delaware corporation, whose principal address is 1955 Broadway, Suite 600. Oakland, CA 94612 (“</w:t>
      </w:r>
      <w:r>
        <w:rPr>
          <w:rFonts w:ascii="Times New Roman;serif" w:hAnsi="Times New Roman;serif"/>
          <w:b/>
          <w:color w:val="000000"/>
          <w:sz w:val="20"/>
        </w:rPr>
        <w:t>Client</w:t>
      </w:r>
      <w:r>
        <w:rPr>
          <w:color w:val="000000"/>
        </w:rPr>
        <w:t>”</w:t>
      </w:r>
      <w:r>
        <w:rPr>
          <w:rFonts w:ascii="Times New Roman;serif" w:hAnsi="Times New Roman;serif"/>
          <w:b w:val="false"/>
          <w:color w:val="000000"/>
          <w:sz w:val="20"/>
        </w:rPr>
        <w:t>) and Marqeta, Inc., a Delaware corporation, whose principal address is 180 Grand Avenue, 6th Floor, Oakland, CA 94612 (“</w:t>
      </w:r>
      <w:r>
        <w:rPr>
          <w:rFonts w:ascii="Times New Roman;serif" w:hAnsi="Times New Roman;serif"/>
          <w:b/>
          <w:color w:val="000000"/>
          <w:sz w:val="20"/>
        </w:rPr>
        <w:t>Marqeta</w:t>
      </w:r>
      <w:r>
        <w:rPr>
          <w:color w:val="000000"/>
        </w:rPr>
        <w:t>”</w:t>
      </w:r>
      <w:r>
        <w:rPr>
          <w:rFonts w:ascii="Times New Roman;serif" w:hAnsi="Times New Roman;serif"/>
          <w:b w:val="false"/>
          <w:color w:val="000000"/>
          <w:sz w:val="20"/>
        </w:rPr>
        <w:t>), and amends the Master Services Agreement between Client and Marqeta dated April 19, 2016, as amended (“</w:t>
      </w:r>
      <w:r>
        <w:rPr>
          <w:rFonts w:ascii="Times New Roman;serif" w:hAnsi="Times New Roman;serif"/>
          <w:b/>
          <w:color w:val="000000"/>
          <w:sz w:val="20"/>
        </w:rPr>
        <w:t>Agreement</w:t>
      </w:r>
      <w:r>
        <w:rPr>
          <w:color w:val="000000"/>
        </w:rPr>
        <w:t>”</w:t>
      </w:r>
      <w:r>
        <w:rPr>
          <w:rFonts w:ascii="Times New Roman;serif" w:hAnsi="Times New Roman;serif"/>
          <w:b w:val="false"/>
          <w:color w:val="000000"/>
          <w:sz w:val="20"/>
        </w:rPr>
        <w:t xml:space="preserve">). Capitalized terms that are not defined in this Amendment are defined in the Agreement. </w:t>
      </w:r>
    </w:p>
    <w:p>
      <w:pPr>
        <w:pStyle w:val="TextBody"/>
        <w:bidi w:val="0"/>
        <w:spacing w:before="0" w:after="0"/>
        <w:jc w:val="both"/>
        <w:rPr/>
      </w:pPr>
      <w:r>
        <w:rPr/>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RECITALS</w:t>
      </w:r>
    </w:p>
    <w:p>
      <w:pPr>
        <w:pStyle w:val="TextBody"/>
        <w:bidi w:val="0"/>
        <w:spacing w:lineRule="auto" w:line="319" w:before="0" w:after="0"/>
        <w:jc w:val="both"/>
        <w:rPr>
          <w:color w:val="000000"/>
        </w:rPr>
      </w:pPr>
      <w:r>
        <w:rPr>
          <w:color w:val="000000"/>
        </w:rPr>
        <w:t>    </w:t>
      </w:r>
      <w:r>
        <w:rPr>
          <w:rFonts w:ascii="Times New Roman;serif" w:hAnsi="Times New Roman;serif"/>
          <w:b w:val="false"/>
          <w:color w:val="000000"/>
          <w:sz w:val="20"/>
        </w:rPr>
        <w:t>WHEREAS, Client and Marqeta entered into the Agreement to set forth the terms governing the provision of certain services by Marqeta to Client;</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    </w:t>
      </w:r>
      <w:r>
        <w:rPr>
          <w:rFonts w:ascii="Times New Roman;serif" w:hAnsi="Times New Roman;serif"/>
          <w:b w:val="false"/>
          <w:color w:val="000000"/>
          <w:sz w:val="20"/>
        </w:rPr>
        <w:t>WHEREAS, the Parties desire to supplement the Agreement in accordance with the terms set forth in this Amendment.</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    </w:t>
      </w:r>
      <w:r>
        <w:rPr>
          <w:rFonts w:ascii="Times New Roman;serif" w:hAnsi="Times New Roman;serif"/>
          <w:b w:val="false"/>
          <w:color w:val="000000"/>
          <w:sz w:val="20"/>
        </w:rPr>
        <w:t>NOW, THEREFORE, for good and valuable consideration, the receipt and sufficiency of which are hereby acknowledged, the Parties agree as follows:</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u w:val="single"/>
        </w:rPr>
        <w:t>Square Card BIN Migration</w:t>
      </w:r>
      <w:r>
        <w:rPr>
          <w:rFonts w:ascii="Times New Roman;serif" w:hAnsi="Times New Roman;serif"/>
          <w:b w:val="false"/>
          <w:color w:val="000000"/>
          <w:sz w:val="20"/>
        </w:rPr>
        <w:t>. Section (b) of Schedule D to the Agreement (Additional Square Card Program Fees) shall be amended by adding a new subsection (iii) as follows:</w:t>
      </w:r>
    </w:p>
    <w:p>
      <w:pPr>
        <w:pStyle w:val="TextBody"/>
        <w:bidi w:val="0"/>
        <w:spacing w:before="0" w:after="0"/>
        <w:jc w:val="both"/>
        <w:rPr/>
      </w:pPr>
      <w:r>
        <w:rPr/>
      </w:r>
    </w:p>
    <w:p>
      <w:pPr>
        <w:pStyle w:val="TextBody"/>
        <w:bidi w:val="0"/>
        <w:spacing w:lineRule="auto" w:line="319" w:before="0" w:after="0"/>
        <w:jc w:val="both"/>
        <w:rPr/>
      </w:pPr>
      <w:r>
        <w:rPr>
          <w:color w:val="000000"/>
        </w:rPr>
        <w:t>“</w:t>
      </w:r>
      <w:r>
        <w:rPr>
          <w:rFonts w:ascii="Times New Roman;serif" w:hAnsi="Times New Roman;serif"/>
          <w:b w:val="false"/>
          <w:color w:val="000000"/>
          <w:sz w:val="20"/>
        </w:rPr>
        <w:t>(iii)     </w:t>
      </w:r>
      <w:r>
        <w:rPr>
          <w:rFonts w:ascii="Times New Roman;serif" w:hAnsi="Times New Roman;serif"/>
          <w:b w:val="false"/>
          <w:color w:val="000000"/>
          <w:sz w:val="20"/>
          <w:u w:val="single"/>
        </w:rPr>
        <w:t>Square Cardholder [***] Migration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u w:val="single"/>
        </w:rPr>
        <w:t>Migration Scope</w:t>
      </w:r>
      <w:r>
        <w:rPr>
          <w:rFonts w:ascii="Times New Roman;serif" w:hAnsi="Times New Roman;serif"/>
          <w:b w:val="false"/>
          <w:color w:val="000000"/>
          <w:sz w:val="20"/>
        </w:rPr>
        <w:t>. Marqeta shall transfer Client’s existing Cardholder Accounts and corresponding BIN(s) from [***] to Marqeta, such that all card issuance management and transaction routing for all such Cardholder Accounts will occur entirely on the Marqeta platform in accordance with the terms of this subsection b (iii) (the “</w:t>
      </w:r>
      <w:r>
        <w:rPr>
          <w:rFonts w:ascii="Times New Roman;serif" w:hAnsi="Times New Roman;serif"/>
          <w:b w:val="false"/>
          <w:color w:val="000000"/>
          <w:sz w:val="20"/>
          <w:u w:val="single"/>
        </w:rPr>
        <w:t>Migration</w:t>
      </w:r>
      <w:r>
        <w:rPr>
          <w:color w:val="000000"/>
        </w:rPr>
        <w:t>”</w:t>
      </w:r>
      <w:r>
        <w:rPr>
          <w:rFonts w:ascii="Times New Roman;serif" w:hAnsi="Times New Roman;serif"/>
          <w:b w:val="false"/>
          <w:color w:val="000000"/>
          <w:sz w:val="20"/>
        </w:rPr>
        <w:t>). The Migration will include (a) the transfer of all Cardholder Accounts active at the time such Migration occurs from [***] to the Marqeta platform and (b) the transfer of all go-forward Cardholder Account transaction volume from [***] to Marqeta, with no residual volume existing on [***] post-Migration.</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u w:val="single"/>
        </w:rPr>
        <w:t>Migration Prerequisites</w:t>
      </w:r>
      <w:r>
        <w:rPr>
          <w:rFonts w:ascii="Times New Roman;serif" w:hAnsi="Times New Roman;serif"/>
          <w:b w:val="false"/>
          <w:color w:val="000000"/>
          <w:sz w:val="20"/>
        </w:rPr>
        <w:t>. The Parties acknowledge and agree that the Migration is contingent upon: (i) the launch of a new BIN program [***] (the “</w:t>
      </w:r>
      <w:r>
        <w:rPr>
          <w:rFonts w:ascii="Times New Roman;serif" w:hAnsi="Times New Roman;serif"/>
          <w:b w:val="false"/>
          <w:color w:val="000000"/>
          <w:sz w:val="20"/>
          <w:u w:val="single"/>
        </w:rPr>
        <w:t>New BIN Program</w:t>
      </w:r>
      <w:r>
        <w:rPr>
          <w:color w:val="000000"/>
        </w:rPr>
        <w:t>”</w:t>
      </w:r>
      <w:r>
        <w:rPr>
          <w:rFonts w:ascii="Times New Roman;serif" w:hAnsi="Times New Roman;serif"/>
          <w:b w:val="false"/>
          <w:color w:val="000000"/>
          <w:sz w:val="20"/>
        </w:rPr>
        <w:t>); and (ii) the completion of a network integration [***] (collectively, the “</w:t>
      </w:r>
      <w:r>
        <w:rPr>
          <w:rFonts w:ascii="Times New Roman;serif" w:hAnsi="Times New Roman;serif"/>
          <w:b w:val="false"/>
          <w:color w:val="000000"/>
          <w:sz w:val="20"/>
          <w:u w:val="single"/>
        </w:rPr>
        <w:t>Migration Prerequisites</w:t>
      </w:r>
      <w:r>
        <w:rPr>
          <w:color w:val="000000"/>
        </w:rPr>
        <w:t>”</w:t>
      </w:r>
      <w:r>
        <w:rPr>
          <w:rFonts w:ascii="Times New Roman;serif" w:hAnsi="Times New Roman;serif"/>
          <w:b w:val="false"/>
          <w:color w:val="000000"/>
          <w:sz w:val="20"/>
        </w:rPr>
        <w:t>). Within sixty (60) days of the completion of the Migration Prerequisites (as communicated in writing by Marqeta to Square), Square will shift all new issuance of Cards under the Square Card Program from [***] to Marqeta.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0"/>
          <w:u w:val="single"/>
        </w:rPr>
        <w:t>Migration Completion; No-Cost Services</w:t>
      </w:r>
      <w:r>
        <w:rPr>
          <w:rFonts w:ascii="Times New Roman;serif" w:hAnsi="Times New Roman;serif"/>
          <w:b w:val="false"/>
          <w:color w:val="000000"/>
          <w:sz w:val="20"/>
        </w:rPr>
        <w:t>. The Migration must be completed no later than [***] (the “</w:t>
      </w:r>
      <w:r>
        <w:rPr>
          <w:rFonts w:ascii="Times New Roman;serif" w:hAnsi="Times New Roman;serif"/>
          <w:b w:val="false"/>
          <w:color w:val="000000"/>
          <w:sz w:val="20"/>
          <w:u w:val="single"/>
        </w:rPr>
        <w:t>Migration Deadline</w:t>
      </w:r>
      <w:r>
        <w:rPr>
          <w:color w:val="000000"/>
        </w:rPr>
        <w:t>”</w:t>
      </w:r>
      <w:r>
        <w:rPr>
          <w:rFonts w:ascii="Times New Roman;serif" w:hAnsi="Times New Roman;serif"/>
          <w:b w:val="false"/>
          <w:color w:val="000000"/>
          <w:sz w:val="20"/>
        </w:rPr>
        <w:t xml:space="preserve">) in order for the services described in this subsection (b)(iii) to be provided at no cost to Client. In the event that the Migration Deadline is not met for reasons not directly attributable to Marqeta, Marqeta reserves the right to charge Client an amount equal to its costs and expenses incurred relating to the Migration, estimated at [***], as consideration for Marqeta’s services relating to the Migration. In the event the Migration is not completed by the Migration Deadline due to causes attributable to Marqeta, Client shall remain entitled to receive such services at no cost, and the Migration Deadline shall be extended accordingly. Notwithstanding the foregoing, if the Migration Deadline is not met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319" w:before="0" w:after="0"/>
        <w:jc w:val="both"/>
        <w:rPr>
          <w:rFonts w:ascii="Times New Roman;serif" w:hAnsi="Times New Roman;serif"/>
          <w:b w:val="false"/>
          <w:color w:val="000000"/>
          <w:sz w:val="20"/>
        </w:rPr>
      </w:pPr>
      <w:r>
        <w:rPr>
          <w:rFonts w:ascii="Times New Roman;serif" w:hAnsi="Times New Roman;serif"/>
          <w:b w:val="false"/>
          <w:color w:val="000000"/>
          <w:sz w:val="20"/>
        </w:rPr>
        <w:t>due to the inability of [***] providing adequate support for the Migration or [***] is unable to timely perform network integration (e.g., due to an [***] code freeze), the Parties agree that Client shall remain entitled to receive such services at no cost, and the Migration Deadline shall be extended accordingly.”</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u w:val="single"/>
        </w:rPr>
        <w:t>Non-English Language Programs</w:t>
      </w:r>
      <w:r>
        <w:rPr>
          <w:rFonts w:ascii="Times New Roman;serif" w:hAnsi="Times New Roman;serif"/>
          <w:b w:val="false"/>
          <w:color w:val="000000"/>
          <w:sz w:val="20"/>
        </w:rPr>
        <w:t>. A new Section (d) shall be appended to the end of Schedule D to the Agreement as follows:</w:t>
      </w:r>
    </w:p>
    <w:p>
      <w:pPr>
        <w:pStyle w:val="TextBody"/>
        <w:bidi w:val="0"/>
        <w:spacing w:before="0" w:after="0"/>
        <w:jc w:val="both"/>
        <w:rPr/>
      </w:pPr>
      <w:r>
        <w:rPr/>
      </w:r>
    </w:p>
    <w:p>
      <w:pPr>
        <w:pStyle w:val="TextBody"/>
        <w:bidi w:val="0"/>
        <w:spacing w:lineRule="auto" w:line="319" w:before="0" w:after="0"/>
        <w:jc w:val="both"/>
        <w:rPr/>
      </w:pPr>
      <w:r>
        <w:rPr>
          <w:color w:val="000000"/>
        </w:rPr>
        <w:t>“</w:t>
      </w:r>
      <w:r>
        <w:rPr>
          <w:rFonts w:ascii="Times New Roman;serif" w:hAnsi="Times New Roman;serif"/>
          <w:b w:val="false"/>
          <w:color w:val="000000"/>
          <w:sz w:val="20"/>
        </w:rPr>
        <w:t>D.         </w:t>
      </w:r>
      <w:r>
        <w:rPr>
          <w:rFonts w:ascii="Times New Roman;serif" w:hAnsi="Times New Roman;serif"/>
          <w:b w:val="false"/>
          <w:color w:val="000000"/>
          <w:sz w:val="20"/>
          <w:u w:val="single"/>
        </w:rPr>
        <w:t>Non-English Card Programs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319" w:before="0" w:after="0"/>
        <w:ind w:left="0" w:right="0" w:hanging="72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Spanish Language Square Card Program Launch</w:t>
      </w:r>
      <w:r>
        <w:rPr>
          <w:rFonts w:ascii="Times New Roman;serif" w:hAnsi="Times New Roman;serif"/>
          <w:b w:val="false"/>
          <w:color w:val="000000"/>
          <w:sz w:val="20"/>
        </w:rPr>
        <w:t>. Client's Square Card Program in Spanish (the “</w:t>
      </w:r>
      <w:r>
        <w:rPr>
          <w:rFonts w:ascii="Times New Roman;serif" w:hAnsi="Times New Roman;serif"/>
          <w:b w:val="false"/>
          <w:color w:val="000000"/>
          <w:sz w:val="20"/>
          <w:u w:val="single"/>
        </w:rPr>
        <w:t>Spanish Language Square Card Program</w:t>
      </w:r>
      <w:r>
        <w:rPr>
          <w:color w:val="000000"/>
        </w:rPr>
        <w:t>”</w:t>
      </w:r>
      <w:r>
        <w:rPr>
          <w:rFonts w:ascii="Times New Roman;serif" w:hAnsi="Times New Roman;serif"/>
          <w:b w:val="false"/>
          <w:color w:val="000000"/>
          <w:sz w:val="20"/>
        </w:rPr>
        <w:t>) was launched in 2019, and Marqeta has agreed, subject to Issuing Bank’s continued approval and the terms set forth herein, to support the continued operation of the Spanish Language Square Card Program.</w:t>
      </w:r>
    </w:p>
    <w:p>
      <w:pPr>
        <w:pStyle w:val="TextBody"/>
        <w:bidi w:val="0"/>
        <w:spacing w:before="0" w:after="0"/>
        <w:jc w:val="both"/>
        <w:rPr/>
      </w:pPr>
      <w:r>
        <w:rPr/>
      </w:r>
    </w:p>
    <w:p>
      <w:pPr>
        <w:pStyle w:val="TextBody"/>
        <w:bidi w:val="0"/>
        <w:spacing w:lineRule="auto" w:line="319" w:before="0" w:after="0"/>
        <w:ind w:left="0" w:right="0" w:hanging="720"/>
        <w:jc w:val="both"/>
        <w:rPr/>
      </w:pPr>
      <w:r>
        <w:rPr>
          <w:rFonts w:ascii="Times New Roman;serif" w:hAnsi="Times New Roman;serif"/>
          <w:b w:val="false"/>
          <w:color w:val="000000"/>
          <w:sz w:val="20"/>
        </w:rPr>
        <w:t>(ii)</w:t>
      </w:r>
      <w:r>
        <w:rPr>
          <w:rFonts w:ascii="Times New Roman;serif" w:hAnsi="Times New Roman;serif"/>
          <w:b w:val="false"/>
          <w:color w:val="000000"/>
          <w:sz w:val="20"/>
          <w:u w:val="single"/>
        </w:rPr>
        <w:t>Non-English Language Support</w:t>
      </w:r>
      <w:r>
        <w:rPr>
          <w:rFonts w:ascii="Times New Roman;serif" w:hAnsi="Times New Roman;serif"/>
          <w:b w:val="false"/>
          <w:color w:val="000000"/>
          <w:sz w:val="20"/>
        </w:rPr>
        <w:t>. Marqeta agrees to support non-English language functionality for Card Programs (the “</w:t>
      </w:r>
      <w:r>
        <w:rPr>
          <w:rFonts w:ascii="Times New Roman;serif" w:hAnsi="Times New Roman;serif"/>
          <w:b w:val="false"/>
          <w:color w:val="000000"/>
          <w:sz w:val="20"/>
          <w:u w:val="single"/>
        </w:rPr>
        <w:t>Non-English Language Card Programs</w:t>
      </w:r>
      <w:r>
        <w:rPr>
          <w:color w:val="000000"/>
        </w:rPr>
        <w:t>”</w:t>
      </w:r>
      <w:r>
        <w:rPr>
          <w:rFonts w:ascii="Times New Roman;serif" w:hAnsi="Times New Roman;serif"/>
          <w:b w:val="false"/>
          <w:color w:val="000000"/>
          <w:sz w:val="20"/>
        </w:rPr>
        <w:t>), including for the Cash App Program and Square Card Program, subject to Issuing Bank’s prior written approval and the terms set forth herein. Prior to any translation into a non-English language, Client shall submit all consumer facing program documentation, as described in below subsection (iv), in English to Marqeta for review and approval by Issuing Bank. Client shall not proceed with use of any translated program documentation until Issuing Bank has provided its written approval (email sufficient) of such documentation.</w:t>
      </w:r>
    </w:p>
    <w:p>
      <w:pPr>
        <w:pStyle w:val="TextBody"/>
        <w:bidi w:val="0"/>
        <w:spacing w:before="0" w:after="0"/>
        <w:jc w:val="left"/>
        <w:rPr/>
      </w:pPr>
      <w:r>
        <w:rPr/>
      </w:r>
    </w:p>
    <w:p>
      <w:pPr>
        <w:pStyle w:val="TextBody"/>
        <w:bidi w:val="0"/>
        <w:spacing w:lineRule="auto" w:line="319" w:before="0" w:after="0"/>
        <w:ind w:left="0" w:right="0" w:hanging="720"/>
        <w:jc w:val="both"/>
        <w:rPr/>
      </w:pPr>
      <w:r>
        <w:rPr>
          <w:rFonts w:ascii="Times New Roman;serif" w:hAnsi="Times New Roman;serif"/>
          <w:b w:val="false"/>
          <w:color w:val="000000"/>
          <w:sz w:val="20"/>
        </w:rPr>
        <w:t>(iii)</w:t>
      </w:r>
      <w:r>
        <w:rPr>
          <w:rFonts w:ascii="Times New Roman;serif" w:hAnsi="Times New Roman;serif"/>
          <w:b w:val="false"/>
          <w:color w:val="000000"/>
          <w:sz w:val="20"/>
          <w:u w:val="single"/>
        </w:rPr>
        <w:t>Translation Services</w:t>
      </w:r>
      <w:r>
        <w:rPr>
          <w:rFonts w:ascii="Times New Roman;serif" w:hAnsi="Times New Roman;serif"/>
          <w:b w:val="false"/>
          <w:color w:val="000000"/>
          <w:sz w:val="20"/>
        </w:rPr>
        <w:t>. Client may utilize one or more third-party subcontractors to provide translation services for any Non-English Card Programs that Client may offer from time to time (such third-party subcontractors, the “</w:t>
      </w:r>
      <w:r>
        <w:rPr>
          <w:rFonts w:ascii="Times New Roman;serif" w:hAnsi="Times New Roman;serif"/>
          <w:b w:val="false"/>
          <w:color w:val="000000"/>
          <w:sz w:val="20"/>
          <w:u w:val="single"/>
        </w:rPr>
        <w:t>Translation Services Provider(s)</w:t>
      </w:r>
      <w:r>
        <w:rPr>
          <w:color w:val="000000"/>
        </w:rPr>
        <w:t>”</w:t>
      </w:r>
      <w:r>
        <w:rPr>
          <w:rFonts w:ascii="Times New Roman;serif" w:hAnsi="Times New Roman;serif"/>
          <w:b w:val="false"/>
          <w:color w:val="000000"/>
          <w:sz w:val="20"/>
        </w:rPr>
        <w:t>). In the event Client utilizes a Translation Services Provider, Client shall be solely responsible for:</w:t>
      </w:r>
    </w:p>
    <w:p>
      <w:pPr>
        <w:pStyle w:val="TextBody"/>
        <w:bidi w:val="0"/>
        <w:spacing w:before="0" w:after="0"/>
        <w:jc w:val="left"/>
        <w:rPr/>
      </w:pPr>
      <w:r>
        <w:rPr/>
      </w:r>
    </w:p>
    <w:p>
      <w:pPr>
        <w:pStyle w:val="TextBody"/>
        <w:bidi w:val="0"/>
        <w:spacing w:lineRule="auto" w:line="319"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costs and expenses associated with the Translation Services Provider(s) and the translation services rendered thereunder for all Non-English Language Card Programs;</w:t>
      </w:r>
    </w:p>
    <w:p>
      <w:pPr>
        <w:pStyle w:val="TextBody"/>
        <w:bidi w:val="0"/>
        <w:spacing w:lineRule="auto" w:line="319"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b.Ensuring that all translations provided by the Translation Services Provider(s) for all Non-English Language Card Programs are accurate, complete, and do not violate any applicable federal, state, or local laws, rules, or regulations; and</w:t>
      </w:r>
    </w:p>
    <w:p>
      <w:pPr>
        <w:pStyle w:val="TextBody"/>
        <w:bidi w:val="0"/>
        <w:spacing w:lineRule="auto" w:line="319"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c.Maintaining appropriate contractual arrangements with the Translation Services Provider(s) to ensure compliance with the terms of this Agreement.</w:t>
      </w:r>
    </w:p>
    <w:p>
      <w:pPr>
        <w:pStyle w:val="TextBody"/>
        <w:bidi w:val="0"/>
        <w:spacing w:before="0" w:after="0"/>
        <w:jc w:val="both"/>
        <w:rPr/>
      </w:pPr>
      <w:r>
        <w:rPr/>
      </w:r>
    </w:p>
    <w:p>
      <w:pPr>
        <w:pStyle w:val="TextBody"/>
        <w:bidi w:val="0"/>
        <w:spacing w:lineRule="auto" w:line="319" w:before="0" w:after="0"/>
        <w:ind w:left="0" w:right="0" w:hanging="720"/>
        <w:jc w:val="both"/>
        <w:rPr/>
      </w:pPr>
      <w:r>
        <w:rPr>
          <w:rFonts w:ascii="Times New Roman;serif" w:hAnsi="Times New Roman;serif"/>
          <w:b w:val="false"/>
          <w:color w:val="000000"/>
          <w:sz w:val="20"/>
        </w:rPr>
        <w:t>(iv)</w:t>
      </w:r>
      <w:r>
        <w:rPr>
          <w:rFonts w:ascii="Times New Roman;serif" w:hAnsi="Times New Roman;serif"/>
          <w:b w:val="false"/>
          <w:color w:val="000000"/>
          <w:sz w:val="20"/>
          <w:u w:val="single"/>
        </w:rPr>
        <w:t>Customer-Facing Materials</w:t>
      </w:r>
      <w:r>
        <w:rPr>
          <w:rFonts w:ascii="Times New Roman;serif" w:hAnsi="Times New Roman;serif"/>
          <w:b w:val="false"/>
          <w:color w:val="000000"/>
          <w:sz w:val="20"/>
        </w:rPr>
        <w:t>. Client agrees that for any Non-English Card Program, all customer-facing program documentation and materials, including but not limited to applicable legal documents, cardholder agreements, terms and conditions, disclosures, notices, and any other materials provided to customers, unless otherwise mutually agreed upon between the Parties, shall be made available in the applicable non-English language.</w:t>
      </w:r>
    </w:p>
    <w:p>
      <w:pPr>
        <w:pStyle w:val="TextBody"/>
        <w:bidi w:val="0"/>
        <w:spacing w:before="0" w:after="0"/>
        <w:jc w:val="both"/>
        <w:rPr/>
      </w:pPr>
      <w:r>
        <w:rPr/>
      </w:r>
    </w:p>
    <w:p>
      <w:pPr>
        <w:pStyle w:val="TextBody"/>
        <w:bidi w:val="0"/>
        <w:spacing w:lineRule="auto" w:line="319"/>
        <w:ind w:left="0" w:right="0" w:hanging="720"/>
        <w:jc w:val="both"/>
        <w:rPr/>
      </w:pPr>
      <w:r>
        <w:rPr>
          <w:rFonts w:ascii="Times New Roman;serif" w:hAnsi="Times New Roman;serif"/>
          <w:b w:val="false"/>
          <w:color w:val="000000"/>
          <w:sz w:val="20"/>
        </w:rPr>
        <w:t>(v)</w:t>
      </w:r>
      <w:r>
        <w:rPr>
          <w:rFonts w:ascii="Times New Roman;serif" w:hAnsi="Times New Roman;serif"/>
          <w:b w:val="false"/>
          <w:color w:val="000000"/>
          <w:sz w:val="20"/>
          <w:u w:val="single"/>
        </w:rPr>
        <w:t>Monthly Quality Assurance Reporting</w:t>
      </w:r>
      <w:r>
        <w:rPr>
          <w:rFonts w:ascii="Times New Roman;serif" w:hAnsi="Times New Roman;serif"/>
          <w:b w:val="false"/>
          <w:color w:val="000000"/>
          <w:sz w:val="20"/>
        </w:rPr>
        <w:t xml:space="preserve">. Unless otherwise agreed to between the Parties in writing (email sufficient), Client agrees to provide on a regular, monthly cadence, a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319" w:before="0" w:after="0"/>
        <w:jc w:val="both"/>
        <w:rPr/>
      </w:pPr>
      <w:r>
        <w:rPr>
          <w:rFonts w:ascii="Times New Roman;serif" w:hAnsi="Times New Roman;serif"/>
          <w:b w:val="false"/>
          <w:color w:val="000000"/>
          <w:sz w:val="20"/>
        </w:rPr>
        <w:t>quality assurance report for the previous month detailing its oversight of the services provided by each of its Translation Services Providers (the “</w:t>
      </w:r>
      <w:r>
        <w:rPr>
          <w:rFonts w:ascii="Times New Roman;serif" w:hAnsi="Times New Roman;serif"/>
          <w:b w:val="false"/>
          <w:color w:val="000000"/>
          <w:sz w:val="20"/>
          <w:u w:val="single"/>
        </w:rPr>
        <w:t>Monthly QA Report</w:t>
      </w:r>
      <w:r>
        <w:rPr>
          <w:color w:val="000000"/>
        </w:rPr>
        <w:t>”</w:t>
      </w:r>
      <w:r>
        <w:rPr>
          <w:rFonts w:ascii="Times New Roman;serif" w:hAnsi="Times New Roman;serif"/>
          <w:b w:val="false"/>
          <w:color w:val="000000"/>
          <w:sz w:val="20"/>
        </w:rPr>
        <w:t xml:space="preserve">). The QA Monthly Report shall be provided in form and substance mutually agreed among the Parties. </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0"/>
        </w:rPr>
        <w:t>3.</w:t>
      </w:r>
      <w:r>
        <w:rPr>
          <w:rFonts w:ascii="Times New Roman;serif" w:hAnsi="Times New Roman;serif"/>
          <w:b w:val="false"/>
          <w:color w:val="000000"/>
          <w:sz w:val="20"/>
          <w:u w:val="single"/>
        </w:rPr>
        <w:t>[***] Secure Data Sharing</w:t>
      </w:r>
      <w:r>
        <w:rPr>
          <w:rFonts w:ascii="Times New Roman;serif" w:hAnsi="Times New Roman;serif"/>
          <w:b w:val="false"/>
          <w:color w:val="000000"/>
          <w:sz w:val="20"/>
        </w:rPr>
        <w:t>. Solely with respect to Client’s Cash App Program, Marqeta will implement [***] Secure Data Sharing functionality to offer an enhanced and more scalable data infrastructure, in all aspects subject to the data protection provisions under the Agreement. In furtherance of the foregoing, Subsection (C) (Cash App Program Fees) of Schedule D (Fees of the Agreement) will be amended to add a new subsection (vi) as follows:</w:t>
      </w:r>
    </w:p>
    <w:p>
      <w:pPr>
        <w:pStyle w:val="TextBody"/>
        <w:bidi w:val="0"/>
        <w:spacing w:before="0" w:after="0"/>
        <w:jc w:val="both"/>
        <w:rPr/>
      </w:pPr>
      <w:r>
        <w:rPr/>
      </w:r>
    </w:p>
    <w:p>
      <w:pPr>
        <w:pStyle w:val="TextBody"/>
        <w:bidi w:val="0"/>
        <w:spacing w:lineRule="auto" w:line="319" w:before="0" w:after="0"/>
        <w:jc w:val="both"/>
        <w:rPr/>
      </w:pPr>
      <w:r>
        <w:rPr>
          <w:color w:val="000000"/>
        </w:rPr>
        <w:t>“</w:t>
      </w:r>
      <w:r>
        <w:rPr>
          <w:rFonts w:ascii="Times New Roman;serif" w:hAnsi="Times New Roman;serif"/>
          <w:b w:val="false"/>
          <w:color w:val="000000"/>
          <w:sz w:val="20"/>
        </w:rPr>
        <w:t xml:space="preserve">(vi) </w:t>
      </w:r>
      <w:r>
        <w:rPr>
          <w:rFonts w:ascii="Times New Roman;serif" w:hAnsi="Times New Roman;serif"/>
          <w:b w:val="false"/>
          <w:color w:val="000000"/>
          <w:sz w:val="20"/>
          <w:u w:val="single"/>
        </w:rPr>
        <w:t>[***] Secure Data Sharing</w:t>
      </w:r>
      <w:r>
        <w:rPr>
          <w:rFonts w:ascii="Times New Roman;serif" w:hAnsi="Times New Roman;serif"/>
          <w:b w:val="false"/>
          <w:color w:val="000000"/>
          <w:sz w:val="20"/>
        </w:rPr>
        <w:t>. Marqeta will implement [***] Secure Data Sharing for Cash App on the terms set forth in this subsection (vi). The initial term for Marqeta’s provision of [***] Secure Data Sharing will begin on the date that such functionality is made available to Client for production use (the “</w:t>
      </w:r>
      <w:r>
        <w:rPr>
          <w:rFonts w:ascii="Times New Roman;serif" w:hAnsi="Times New Roman;serif"/>
          <w:b w:val="false"/>
          <w:color w:val="000000"/>
          <w:sz w:val="20"/>
          <w:u w:val="single"/>
        </w:rPr>
        <w:t>[***] Go Live Date</w:t>
      </w:r>
      <w:r>
        <w:rPr>
          <w:color w:val="000000"/>
        </w:rPr>
        <w:t>”</w:t>
      </w:r>
      <w:r>
        <w:rPr>
          <w:rFonts w:ascii="Times New Roman;serif" w:hAnsi="Times New Roman;serif"/>
          <w:b w:val="false"/>
          <w:color w:val="000000"/>
          <w:sz w:val="20"/>
        </w:rPr>
        <w:t>) and end on the earlier of (i) the expiration or termination date of the Agreement or (ii) the date that is two (2) years from the [***] Go Live Date (the “</w:t>
      </w:r>
      <w:r>
        <w:rPr>
          <w:rFonts w:ascii="Times New Roman;serif" w:hAnsi="Times New Roman;serif"/>
          <w:b w:val="false"/>
          <w:color w:val="000000"/>
          <w:sz w:val="20"/>
          <w:u w:val="single"/>
        </w:rPr>
        <w:t>[***] Data Sharing Initial Term</w:t>
      </w:r>
      <w:r>
        <w:rPr>
          <w:rFonts w:ascii="Times New Roman;serif" w:hAnsi="Times New Roman;serif"/>
          <w:b w:val="false"/>
          <w:color w:val="000000"/>
          <w:sz w:val="20"/>
        </w:rPr>
        <w:t>.”) The [***] Data Sharing Initial Term shall automatically renew for successive one (1) year terms (subject to any termination or expiration of the Agreement) unless either Party provides ninety (90) days prior written notice to the other Party of its intent to not renew [***] Secure Data Sharing. The table below sets forth the fees applicable to Marqeta’s provision of [***] Secure Data Sharing to Client:</w:t>
      </w:r>
    </w:p>
    <w:p>
      <w:pPr>
        <w:pStyle w:val="TextBody"/>
        <w:bidi w:val="0"/>
        <w:spacing w:before="0" w:after="0"/>
        <w:jc w:val="left"/>
        <w:rPr/>
      </w:pPr>
      <w:r>
        <w:rPr/>
      </w:r>
    </w:p>
    <w:tbl>
      <w:tblPr>
        <w:tblW w:w="2387" w:type="dxa"/>
        <w:jc w:val="left"/>
        <w:tblInd w:w="0" w:type="dxa"/>
        <w:tblLayout w:type="fixed"/>
        <w:tblCellMar>
          <w:top w:w="28" w:type="dxa"/>
          <w:left w:w="28" w:type="dxa"/>
          <w:bottom w:w="28" w:type="dxa"/>
          <w:right w:w="28" w:type="dxa"/>
        </w:tblCellMar>
      </w:tblPr>
      <w:tblGrid>
        <w:gridCol w:w="207"/>
        <w:gridCol w:w="181"/>
        <w:gridCol w:w="183"/>
        <w:gridCol w:w="410"/>
        <w:gridCol w:w="410"/>
        <w:gridCol w:w="411"/>
        <w:gridCol w:w="171"/>
        <w:gridCol w:w="171"/>
        <w:gridCol w:w="243"/>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op w:val="single" w:sz="8" w:space="0" w:color="000000"/>
              <w:left w:val="single" w:sz="8" w:space="0" w:color="000000"/>
            </w:tcBorders>
            <w:shd w:fill="2A206A" w:val="clear"/>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2"/>
              </w:rPr>
            </w:pPr>
            <w:r>
              <w:rPr>
                <w:rFonts w:ascii="Times New Roman;serif" w:hAnsi="Times New Roman;serif"/>
                <w:b/>
                <w:color w:val="FFFFFF"/>
                <w:sz w:val="22"/>
              </w:rPr>
              <w:t>Item</w:t>
            </w:r>
          </w:p>
        </w:tc>
        <w:tc>
          <w:tcPr>
            <w:tcW w:w="1231" w:type="dxa"/>
            <w:gridSpan w:val="3"/>
            <w:tcBorders>
              <w:top w:val="single" w:sz="8" w:space="0" w:color="000000"/>
              <w:left w:val="single" w:sz="8" w:space="0" w:color="000000"/>
            </w:tcBorders>
            <w:shd w:fill="2A206A" w:val="clear"/>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2"/>
              </w:rPr>
            </w:pPr>
            <w:r>
              <w:rPr>
                <w:rFonts w:ascii="Times New Roman;serif" w:hAnsi="Times New Roman;serif"/>
                <w:b/>
                <w:color w:val="FFFFFF"/>
                <w:sz w:val="22"/>
              </w:rPr>
              <w:t>Description</w:t>
            </w:r>
          </w:p>
        </w:tc>
        <w:tc>
          <w:tcPr>
            <w:tcW w:w="585" w:type="dxa"/>
            <w:gridSpan w:val="3"/>
            <w:tcBorders>
              <w:top w:val="single" w:sz="8" w:space="0" w:color="000000"/>
              <w:left w:val="single" w:sz="8" w:space="0" w:color="000000"/>
              <w:right w:val="single" w:sz="8" w:space="0" w:color="000000"/>
            </w:tcBorders>
            <w:shd w:fill="2A206A" w:val="clear"/>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color w:val="FFFFFF"/>
                <w:sz w:val="22"/>
              </w:rPr>
            </w:pPr>
            <w:r>
              <w:rPr>
                <w:rFonts w:ascii="Times New Roman;serif" w:hAnsi="Times New Roman;serif"/>
                <w:b/>
                <w:color w:val="FFFFFF"/>
                <w:sz w:val="22"/>
              </w:rPr>
              <w:t>Fee</w:t>
            </w:r>
          </w:p>
        </w:tc>
      </w:tr>
      <w:tr>
        <w:trPr/>
        <w:tc>
          <w:tcPr>
            <w:tcW w:w="5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0" w:after="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0" w:after="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top w:val="single" w:sz="8" w:space="0" w:color="000000"/>
              <w:left w:val="single" w:sz="8" w:space="0" w:color="000000"/>
              <w:bottom w:val="single" w:sz="8" w:space="0" w:color="000000"/>
              <w:right w:val="single" w:sz="8" w:space="0" w:color="000000"/>
            </w:tcBorders>
            <w:tcMar>
              <w:top w:w="30" w:type="dxa"/>
              <w:left w:w="67"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0"/>
        </w:rPr>
        <w:t>4.</w:t>
      </w:r>
      <w:r>
        <w:rPr>
          <w:rFonts w:ascii="Times New Roman;serif" w:hAnsi="Times New Roman;serif"/>
          <w:b w:val="false"/>
          <w:color w:val="000000"/>
          <w:sz w:val="20"/>
          <w:u w:val="single"/>
        </w:rPr>
        <w:t>Limited Amendment</w:t>
      </w:r>
      <w:r>
        <w:rPr>
          <w:rFonts w:ascii="Times New Roman;serif" w:hAnsi="Times New Roman;serif"/>
          <w:b w:val="false"/>
          <w:color w:val="000000"/>
          <w:sz w:val="20"/>
        </w:rPr>
        <w:t>. This Amendment and the Agreement set forth the Parties’ entire agreement with respect to the subject matter of this Amendment. This Amendment incorporates by reference the terms of the Agreement as if fully set forth in this Amendment, and the specific terms and conditions in this Amendment govern, control, and supersede the Agreement solely with respect to the subject matters covered in this Amendment.</w: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val="false"/>
          <w:color w:val="000000"/>
          <w:sz w:val="20"/>
        </w:rPr>
        <w:t>5.</w:t>
      </w:r>
      <w:r>
        <w:rPr>
          <w:rFonts w:ascii="Times New Roman;serif" w:hAnsi="Times New Roman;serif"/>
          <w:b w:val="false"/>
          <w:color w:val="000000"/>
          <w:sz w:val="20"/>
          <w:u w:val="single"/>
        </w:rPr>
        <w:t>Counterparts</w:t>
      </w:r>
      <w:r>
        <w:rPr>
          <w:rFonts w:ascii="Times New Roman;serif" w:hAnsi="Times New Roman;serif"/>
          <w:b w:val="false"/>
          <w:color w:val="000000"/>
          <w:sz w:val="20"/>
        </w:rPr>
        <w:t>. This Amendment may be executed by the Parties electronically and in counterparts.</w:t>
      </w:r>
    </w:p>
    <w:p>
      <w:pPr>
        <w:pStyle w:val="TextBody"/>
        <w:bidi w:val="0"/>
        <w:spacing w:lineRule="auto" w:line="288"/>
        <w:jc w:val="both"/>
        <w:rPr/>
      </w:pPr>
      <w:r>
        <w:rPr>
          <w:rFonts w:ascii="Times New Roman;serif" w:hAnsi="Times New Roman;serif"/>
          <w:b/>
          <w:color w:val="000000"/>
          <w:sz w:val="20"/>
        </w:rPr>
        <w:t>[</w:t>
      </w:r>
      <w:r>
        <w:rPr>
          <w:rFonts w:ascii="Times New Roman;serif" w:hAnsi="Times New Roman;serif"/>
          <w:b/>
          <w:i/>
          <w:color w:val="000000"/>
          <w:sz w:val="20"/>
        </w:rPr>
        <w:t>Signature Page Follows</w:t>
      </w:r>
      <w:r>
        <w:rPr>
          <w:rFonts w:ascii="Times New Roman;serif" w:hAnsi="Times New Roman;serif"/>
          <w:b/>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0"/>
        </w:rPr>
        <w:t xml:space="preserve">This Amendment </w:t>
      </w:r>
      <w:r>
        <w:rPr>
          <w:rFonts w:ascii="Times New Roman;serif" w:hAnsi="Times New Roman;serif"/>
          <w:b w:val="false"/>
          <w:color w:val="000000"/>
          <w:sz w:val="20"/>
        </w:rPr>
        <w:t>has been signed by the Parties or their duly authorized representatives as of the Amendment Effective Date.</w:t>
      </w:r>
    </w:p>
    <w:p>
      <w:pPr>
        <w:pStyle w:val="TextBody"/>
        <w:bidi w:val="0"/>
        <w:spacing w:lineRule="auto" w:line="288" w:before="0" w:after="0"/>
        <w:jc w:val="both"/>
        <w:rPr>
          <w:color w:val="000000"/>
        </w:rPr>
      </w:pPr>
      <w:r>
        <w:rPr>
          <w:color w:val="000000"/>
        </w:rPr>
        <w:t> </w:t>
      </w:r>
    </w:p>
    <w:tbl>
      <w:tblPr>
        <w:tblW w:w="3510" w:type="dxa"/>
        <w:jc w:val="left"/>
        <w:tblInd w:w="0" w:type="dxa"/>
        <w:tblLayout w:type="fixed"/>
        <w:tblCellMar>
          <w:top w:w="28" w:type="dxa"/>
          <w:left w:w="28" w:type="dxa"/>
          <w:bottom w:w="28" w:type="dxa"/>
          <w:right w:w="28" w:type="dxa"/>
        </w:tblCellMar>
      </w:tblPr>
      <w:tblGrid>
        <w:gridCol w:w="879"/>
        <w:gridCol w:w="774"/>
        <w:gridCol w:w="777"/>
        <w:gridCol w:w="316"/>
        <w:gridCol w:w="316"/>
        <w:gridCol w:w="448"/>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Marqeta, Inc.</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/s/ Todd Pollak</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Print: Todd Pollak</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Revenue Officer</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June 25, 2026</w:t>
            </w:r>
          </w:p>
        </w:tc>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Client</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Print: [***]</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w:t>
            </w:r>
          </w:p>
        </w:tc>
      </w:tr>
    </w:tbl>
    <w:p>
      <w:pPr>
        <w:pStyle w:val="TextBody"/>
        <w:bidi w:val="0"/>
        <w:spacing w:before="0" w:after="24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Exhibit 31.1</w:t>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CERTIFICATION OF PRINCIPAL EXECUTIVE OFFICER</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PURSUANT TO</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SECURITIES EXCHANGE ACT OF 1934 RULES 13a-14(a) AND 15d-14(a),</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AS ADOPTED PURSUANT TO</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SECTION 302 OF THE SARBANES-OXLEY ACT OF 2002</w:t>
      </w:r>
    </w:p>
    <w:p>
      <w:pPr>
        <w:pStyle w:val="TextBody"/>
        <w:bidi w:val="0"/>
        <w:spacing w:lineRule="auto" w:line="288" w:before="120" w:after="283"/>
        <w:jc w:val="left"/>
        <w:rPr>
          <w:rFonts w:ascii="Open Sans;sans-serif" w:hAnsi="Open Sans;sans-serif"/>
          <w:b w:val="false"/>
          <w:color w:val="000000"/>
          <w:sz w:val="20"/>
        </w:rPr>
      </w:pPr>
      <w:r>
        <w:rPr>
          <w:rFonts w:ascii="Open Sans;sans-serif" w:hAnsi="Open Sans;sans-serif"/>
          <w:b w:val="false"/>
          <w:color w:val="000000"/>
          <w:sz w:val="20"/>
        </w:rPr>
        <w:t>I, Michael (Mike) Milotich, certify that:</w:t>
      </w:r>
    </w:p>
    <w:p>
      <w:pPr>
        <w:pStyle w:val="TextBody"/>
        <w:bidi w:val="0"/>
        <w:spacing w:lineRule="auto" w:line="288" w:before="120" w:after="283"/>
        <w:jc w:val="both"/>
        <w:rPr/>
      </w:pPr>
      <w:r>
        <w:rPr>
          <w:rFonts w:ascii="Open Sans;sans-serif" w:hAnsi="Open Sans;sans-serif"/>
          <w:b w:val="false"/>
          <w:color w:val="000000"/>
          <w:sz w:val="20"/>
        </w:rPr>
        <w:t>1.</w:t>
      </w:r>
      <w:r>
        <w:rPr>
          <w:rFonts w:ascii="Open Sans;sans-serif" w:hAnsi="Open Sans;sans-serif"/>
          <w:b w:val="false"/>
          <w:color w:val="000000"/>
          <w:sz w:val="20"/>
        </w:rPr>
        <w:t>I have reviewed this quarterly report on Form 10-Q of Marqeta, Inc.;</w:t>
      </w:r>
    </w:p>
    <w:p>
      <w:pPr>
        <w:pStyle w:val="TextBody"/>
        <w:bidi w:val="0"/>
        <w:spacing w:lineRule="auto" w:line="288" w:before="120" w:after="283"/>
        <w:jc w:val="both"/>
        <w:rPr/>
      </w:pPr>
      <w:r>
        <w:rPr>
          <w:rFonts w:ascii="Open Sans;sans-serif" w:hAnsi="Open Sans;sans-serif"/>
          <w:b w:val="false"/>
          <w:color w:val="000000"/>
          <w:sz w:val="20"/>
        </w:rPr>
        <w:t>2.</w:t>
      </w:r>
      <w:r>
        <w:rPr>
          <w:rFonts w:ascii="Open Sans;sans-serif" w:hAnsi="Open Sans;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both"/>
        <w:rPr/>
      </w:pPr>
      <w:r>
        <w:rPr>
          <w:rFonts w:ascii="Open Sans;sans-serif" w:hAnsi="Open Sans;sans-serif"/>
          <w:b w:val="false"/>
          <w:color w:val="000000"/>
          <w:sz w:val="20"/>
        </w:rPr>
        <w:t>3.</w:t>
      </w:r>
      <w:r>
        <w:rPr>
          <w:rFonts w:ascii="Open Sans;sans-serif" w:hAnsi="Open Sans;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both"/>
        <w:rPr/>
      </w:pPr>
      <w:r>
        <w:rPr>
          <w:rFonts w:ascii="Open Sans;sans-serif" w:hAnsi="Open Sans;sans-serif"/>
          <w:b w:val="false"/>
          <w:color w:val="000000"/>
          <w:sz w:val="20"/>
        </w:rPr>
        <w:t>4.</w:t>
      </w:r>
      <w:r>
        <w:rPr>
          <w:rFonts w:ascii="Open Sans;sans-serif" w:hAnsi="Open Sans;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both"/>
        <w:rPr/>
      </w:pPr>
      <w:r>
        <w:rPr>
          <w:rFonts w:ascii="Open Sans;sans-serif" w:hAnsi="Open Sans;sans-serif"/>
          <w:b w:val="false"/>
          <w:color w:val="000000"/>
          <w:sz w:val="20"/>
        </w:rPr>
        <w:t>5.</w:t>
      </w:r>
      <w:r>
        <w:rPr>
          <w:rFonts w:ascii="Open Sans;sans-serif" w:hAnsi="Open Sans;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b.Any fraud, whether or not material, that involves management or other employees who have a significant role in the registrant’s internal control over financial reporting.</w:t>
      </w:r>
    </w:p>
    <w:tbl>
      <w:tblPr>
        <w:tblW w:w="6124" w:type="dxa"/>
        <w:jc w:val="left"/>
        <w:tblInd w:w="0" w:type="dxa"/>
        <w:tblLayout w:type="fixed"/>
        <w:tblCellMar>
          <w:top w:w="28" w:type="dxa"/>
          <w:left w:w="28" w:type="dxa"/>
          <w:bottom w:w="28" w:type="dxa"/>
          <w:right w:w="28" w:type="dxa"/>
        </w:tblCellMar>
      </w:tblPr>
      <w:tblGrid>
        <w:gridCol w:w="753"/>
        <w:gridCol w:w="662"/>
        <w:gridCol w:w="669"/>
        <w:gridCol w:w="109"/>
        <w:gridCol w:w="109"/>
        <w:gridCol w:w="109"/>
        <w:gridCol w:w="109"/>
        <w:gridCol w:w="109"/>
        <w:gridCol w:w="109"/>
        <w:gridCol w:w="129"/>
        <w:gridCol w:w="129"/>
        <w:gridCol w:w="131"/>
        <w:gridCol w:w="874"/>
        <w:gridCol w:w="874"/>
        <w:gridCol w:w="877"/>
        <w:gridCol w:w="109"/>
        <w:gridCol w:w="109"/>
        <w:gridCol w:w="154"/>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Date: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By:</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/s/ Michael (Mike) Milotich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Michael (Mike) Milotich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Exhibit 31.2</w:t>
      </w:r>
    </w:p>
    <w:p>
      <w:pPr>
        <w:pStyle w:val="TextBody"/>
        <w:bidi w:val="0"/>
        <w:spacing w:lineRule="auto" w:line="288" w:before="240" w:after="283"/>
        <w:jc w:val="center"/>
        <w:rPr>
          <w:rFonts w:ascii="Open Sans;sans-serif" w:hAnsi="Open Sans;sans-serif"/>
          <w:b/>
          <w:color w:val="000000"/>
          <w:sz w:val="20"/>
        </w:rPr>
      </w:pPr>
      <w:r>
        <w:rPr>
          <w:rFonts w:ascii="Open Sans;sans-serif" w:hAnsi="Open Sans;sans-serif"/>
          <w:b/>
          <w:color w:val="000000"/>
          <w:sz w:val="20"/>
        </w:rPr>
        <w:t>CERTIFICATION OF PRINCIPAL FINANCIAL OFFICER</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PURSUANT TO</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SECURITIES EXCHANGE ACT OF 1934 RULES 13a-14(a) AND 15d-14(a),</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AS ADOPTED PURSUANT TO</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SECTION 302 OF THE SARBANES-OXLEY ACT OF 2002</w:t>
      </w:r>
    </w:p>
    <w:p>
      <w:pPr>
        <w:pStyle w:val="TextBody"/>
        <w:bidi w:val="0"/>
        <w:spacing w:lineRule="auto" w:line="288" w:before="120" w:after="283"/>
        <w:jc w:val="left"/>
        <w:rPr>
          <w:rFonts w:ascii="Open Sans;sans-serif" w:hAnsi="Open Sans;sans-serif"/>
          <w:b w:val="false"/>
          <w:color w:val="000000"/>
          <w:sz w:val="20"/>
        </w:rPr>
      </w:pPr>
      <w:r>
        <w:rPr>
          <w:rFonts w:ascii="Open Sans;sans-serif" w:hAnsi="Open Sans;sans-serif"/>
          <w:b w:val="false"/>
          <w:color w:val="000000"/>
          <w:sz w:val="20"/>
        </w:rPr>
        <w:t>I, Patti Kangwankij, certify that:</w:t>
      </w:r>
    </w:p>
    <w:p>
      <w:pPr>
        <w:pStyle w:val="TextBody"/>
        <w:bidi w:val="0"/>
        <w:spacing w:lineRule="auto" w:line="288" w:before="120" w:after="283"/>
        <w:jc w:val="both"/>
        <w:rPr/>
      </w:pPr>
      <w:r>
        <w:rPr>
          <w:rFonts w:ascii="Open Sans;sans-serif" w:hAnsi="Open Sans;sans-serif"/>
          <w:b w:val="false"/>
          <w:color w:val="000000"/>
          <w:sz w:val="20"/>
        </w:rPr>
        <w:t>1.</w:t>
      </w:r>
      <w:r>
        <w:rPr>
          <w:rFonts w:ascii="Open Sans;sans-serif" w:hAnsi="Open Sans;sans-serif"/>
          <w:b w:val="false"/>
          <w:color w:val="000000"/>
          <w:sz w:val="20"/>
        </w:rPr>
        <w:t>I have reviewed this quarterly report on Form 10-Q of Marqeta, Inc.;</w:t>
      </w:r>
    </w:p>
    <w:p>
      <w:pPr>
        <w:pStyle w:val="TextBody"/>
        <w:bidi w:val="0"/>
        <w:spacing w:lineRule="auto" w:line="288" w:before="120" w:after="283"/>
        <w:jc w:val="both"/>
        <w:rPr/>
      </w:pPr>
      <w:r>
        <w:rPr>
          <w:rFonts w:ascii="Open Sans;sans-serif" w:hAnsi="Open Sans;sans-serif"/>
          <w:b w:val="false"/>
          <w:color w:val="000000"/>
          <w:sz w:val="20"/>
        </w:rPr>
        <w:t>2.</w:t>
      </w:r>
      <w:r>
        <w:rPr>
          <w:rFonts w:ascii="Open Sans;sans-serif" w:hAnsi="Open Sans;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both"/>
        <w:rPr/>
      </w:pPr>
      <w:r>
        <w:rPr>
          <w:rFonts w:ascii="Open Sans;sans-serif" w:hAnsi="Open Sans;sans-serif"/>
          <w:b w:val="false"/>
          <w:color w:val="000000"/>
          <w:sz w:val="20"/>
        </w:rPr>
        <w:t>3.</w:t>
      </w:r>
      <w:r>
        <w:rPr>
          <w:rFonts w:ascii="Open Sans;sans-serif" w:hAnsi="Open Sans;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both"/>
        <w:rPr/>
      </w:pPr>
      <w:r>
        <w:rPr>
          <w:rFonts w:ascii="Open Sans;sans-serif" w:hAnsi="Open Sans;sans-serif"/>
          <w:b w:val="false"/>
          <w:color w:val="000000"/>
          <w:sz w:val="20"/>
        </w:rPr>
        <w:t>4.</w:t>
      </w:r>
      <w:r>
        <w:rPr>
          <w:rFonts w:ascii="Open Sans;sans-serif" w:hAnsi="Open Sans;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both"/>
        <w:rPr/>
      </w:pPr>
      <w:r>
        <w:rPr>
          <w:rFonts w:ascii="Open Sans;sans-serif" w:hAnsi="Open Sans;sans-serif"/>
          <w:b w:val="false"/>
          <w:color w:val="000000"/>
          <w:sz w:val="20"/>
        </w:rPr>
        <w:t>5.</w:t>
      </w:r>
      <w:r>
        <w:rPr>
          <w:rFonts w:ascii="Open Sans;sans-serif" w:hAnsi="Open Sans;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both"/>
        <w:rPr>
          <w:rFonts w:ascii="Open Sans;sans-serif" w:hAnsi="Open Sans;sans-serif"/>
          <w:b w:val="false"/>
          <w:color w:val="000000"/>
          <w:sz w:val="20"/>
        </w:rPr>
      </w:pPr>
      <w:r>
        <w:rPr>
          <w:rFonts w:ascii="Open Sans;sans-serif" w:hAnsi="Open Sans;sans-serif"/>
          <w:b w:val="false"/>
          <w:color w:val="000000"/>
          <w:sz w:val="20"/>
        </w:rPr>
        <w:t>b.Any fraud, whether or not material, that involves management or other employees who have a significant role in the registrant’s internal control over financial reporting.</w:t>
      </w:r>
    </w:p>
    <w:tbl>
      <w:tblPr>
        <w:tblW w:w="6033" w:type="dxa"/>
        <w:jc w:val="left"/>
        <w:tblInd w:w="0" w:type="dxa"/>
        <w:tblLayout w:type="fixed"/>
        <w:tblCellMar>
          <w:top w:w="28" w:type="dxa"/>
          <w:left w:w="28" w:type="dxa"/>
          <w:bottom w:w="28" w:type="dxa"/>
          <w:right w:w="28" w:type="dxa"/>
        </w:tblCellMar>
      </w:tblPr>
      <w:tblGrid>
        <w:gridCol w:w="753"/>
        <w:gridCol w:w="662"/>
        <w:gridCol w:w="669"/>
        <w:gridCol w:w="109"/>
        <w:gridCol w:w="109"/>
        <w:gridCol w:w="109"/>
        <w:gridCol w:w="109"/>
        <w:gridCol w:w="109"/>
        <w:gridCol w:w="109"/>
        <w:gridCol w:w="129"/>
        <w:gridCol w:w="129"/>
        <w:gridCol w:w="131"/>
        <w:gridCol w:w="844"/>
        <w:gridCol w:w="844"/>
        <w:gridCol w:w="846"/>
        <w:gridCol w:w="109"/>
        <w:gridCol w:w="109"/>
        <w:gridCol w:w="154"/>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Date: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By:</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 xml:space="preserve">/s/ </w:t>
            </w:r>
            <w:r>
              <w:rPr>
                <w:rFonts w:ascii="Open Sans;sans-serif" w:hAnsi="Open Sans;sans-serif"/>
                <w:b w:val="false"/>
                <w:color w:val="000000"/>
                <w:sz w:val="20"/>
              </w:rPr>
              <w:t>Patti Kangwankij</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Patti Kangwankij</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Montserrat;sans-serif" w:hAnsi="Montserrat;sans-serif"/>
          <w:b/>
          <w:color w:val="000000"/>
          <w:sz w:val="20"/>
        </w:rPr>
      </w:pPr>
      <w:r>
        <w:rPr>
          <w:rFonts w:ascii="Montserrat;sans-serif" w:hAnsi="Montserrat;sans-serif"/>
          <w:b/>
          <w:color w:val="000000"/>
          <w:sz w:val="20"/>
        </w:rPr>
        <w:t>Exhibit 32.1</w:t>
      </w:r>
    </w:p>
    <w:p>
      <w:pPr>
        <w:pStyle w:val="TextBody"/>
        <w:bidi w:val="0"/>
        <w:spacing w:lineRule="auto" w:line="288" w:before="240" w:after="283"/>
        <w:jc w:val="center"/>
        <w:rPr>
          <w:rFonts w:ascii="Montserrat;sans-serif" w:hAnsi="Montserrat;sans-serif"/>
          <w:b/>
          <w:color w:val="000000"/>
          <w:sz w:val="20"/>
        </w:rPr>
      </w:pPr>
      <w:r>
        <w:rPr>
          <w:rFonts w:ascii="Montserrat;sans-serif" w:hAnsi="Montserrat;sans-serif"/>
          <w:b/>
          <w:color w:val="000000"/>
          <w:sz w:val="20"/>
        </w:rPr>
        <w:t>CERTIFICATION OF CHIEF EXECUTIVE OFFICER</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PURSUANT TO 18 U.S.C. SECTION 1350,</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AS ADOPTED PURSUANT TO SECTION 906 OF THE SARBANES-OXLEY ACT OF 2002</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I, Michael (Mike) Milotich, Chief Executive Officer of Marqeta, Inc., certify, pursuant to 18 U.S.C. Section 1350, as adopted pursuant to Section 906 of the Sarbanes-Oxley Act of 2002, that the Quarterly Report on Form 10-Q of Marqeta, Inc. for the quarter ended June 30, 2026 fully complies with the requirements of Section 13(a) or 15(d) of the Securities Exchange Act of 1934 and that the information contained in such Quarterly Report on Form 10-Q fairly presents, in all material respects, the financial condition and results of operations of Marqeta, Inc.</w:t>
      </w:r>
    </w:p>
    <w:tbl>
      <w:tblPr>
        <w:tblW w:w="5796" w:type="dxa"/>
        <w:jc w:val="left"/>
        <w:tblInd w:w="0" w:type="dxa"/>
        <w:tblLayout w:type="fixed"/>
        <w:tblCellMar>
          <w:top w:w="28" w:type="dxa"/>
          <w:left w:w="28" w:type="dxa"/>
          <w:bottom w:w="28" w:type="dxa"/>
          <w:right w:w="28" w:type="dxa"/>
        </w:tblCellMar>
      </w:tblPr>
      <w:tblGrid>
        <w:gridCol w:w="753"/>
        <w:gridCol w:w="662"/>
        <w:gridCol w:w="669"/>
        <w:gridCol w:w="109"/>
        <w:gridCol w:w="109"/>
        <w:gridCol w:w="109"/>
        <w:gridCol w:w="109"/>
        <w:gridCol w:w="109"/>
        <w:gridCol w:w="109"/>
        <w:gridCol w:w="129"/>
        <w:gridCol w:w="129"/>
        <w:gridCol w:w="131"/>
        <w:gridCol w:w="779"/>
        <w:gridCol w:w="779"/>
        <w:gridCol w:w="1111"/>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Date: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By:</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/s/ Michael (Mike) Milotich</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Michael (Mike) Milotich</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Chief Executive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Montserrat;sans-serif" w:hAnsi="Montserrat;sans-serif"/>
          <w:b/>
          <w:color w:val="000000"/>
          <w:sz w:val="20"/>
        </w:rPr>
      </w:pPr>
      <w:r>
        <w:rPr>
          <w:rFonts w:ascii="Montserrat;sans-serif" w:hAnsi="Montserrat;sans-serif"/>
          <w:b/>
          <w:color w:val="000000"/>
          <w:sz w:val="20"/>
        </w:rPr>
        <w:t>Exhibit 32.2</w:t>
      </w:r>
    </w:p>
    <w:p>
      <w:pPr>
        <w:pStyle w:val="TextBody"/>
        <w:bidi w:val="0"/>
        <w:spacing w:lineRule="auto" w:line="288" w:before="240" w:after="283"/>
        <w:jc w:val="center"/>
        <w:rPr>
          <w:rFonts w:ascii="Montserrat;sans-serif" w:hAnsi="Montserrat;sans-serif"/>
          <w:b/>
          <w:color w:val="000000"/>
          <w:sz w:val="20"/>
        </w:rPr>
      </w:pPr>
      <w:r>
        <w:rPr>
          <w:rFonts w:ascii="Montserrat;sans-serif" w:hAnsi="Montserrat;sans-serif"/>
          <w:b/>
          <w:color w:val="000000"/>
          <w:sz w:val="20"/>
        </w:rPr>
        <w:t>CERTIFICATION OF CHIEF FINANCIAL OFFICER</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PURSUANT TO 18 U.S.C. SECTION 1350,</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AS ADOPTED PURSUANT TO SECTION 906 OF THE SARBANES-OXLEY ACT OF 2002</w:t>
      </w:r>
    </w:p>
    <w:p>
      <w:pPr>
        <w:pStyle w:val="TextBody"/>
        <w:bidi w:val="0"/>
        <w:spacing w:lineRule="auto" w:line="288" w:before="240" w:after="283"/>
        <w:jc w:val="both"/>
        <w:rPr>
          <w:rFonts w:ascii="Open Sans;sans-serif" w:hAnsi="Open Sans;sans-serif"/>
          <w:b w:val="false"/>
          <w:color w:val="000000"/>
          <w:sz w:val="20"/>
        </w:rPr>
      </w:pPr>
      <w:r>
        <w:rPr>
          <w:rFonts w:ascii="Open Sans;sans-serif" w:hAnsi="Open Sans;sans-serif"/>
          <w:b w:val="false"/>
          <w:color w:val="000000"/>
          <w:sz w:val="20"/>
        </w:rPr>
        <w:t>I, Patti Kangwankij, Chief Financial Officer of Marqeta, Inc., certify, pursuant to 18 U.S.C. Section 1350, as adopted pursuant to Section 906 of the Sarbanes-Oxley Act of 2002, that the Quarterly Report on Form 10-Q of Marqeta, Inc. for the quarter ended June 30, 2026 fully complies with the requirements of Section 13(a) or 15(d) of the Securities Exchange Act of 1934 and that the information contained in such Quarterly Report on Form 10-Q fairly presents, in all material respects, the financial condition and results of operations of Marqeta, Inc.</w:t>
      </w:r>
    </w:p>
    <w:tbl>
      <w:tblPr>
        <w:tblW w:w="5707" w:type="dxa"/>
        <w:jc w:val="left"/>
        <w:tblInd w:w="0" w:type="dxa"/>
        <w:tblLayout w:type="fixed"/>
        <w:tblCellMar>
          <w:top w:w="28" w:type="dxa"/>
          <w:left w:w="28" w:type="dxa"/>
          <w:bottom w:w="28" w:type="dxa"/>
          <w:right w:w="28" w:type="dxa"/>
        </w:tblCellMar>
      </w:tblPr>
      <w:tblGrid>
        <w:gridCol w:w="753"/>
        <w:gridCol w:w="662"/>
        <w:gridCol w:w="669"/>
        <w:gridCol w:w="109"/>
        <w:gridCol w:w="109"/>
        <w:gridCol w:w="109"/>
        <w:gridCol w:w="109"/>
        <w:gridCol w:w="109"/>
        <w:gridCol w:w="109"/>
        <w:gridCol w:w="129"/>
        <w:gridCol w:w="129"/>
        <w:gridCol w:w="131"/>
        <w:gridCol w:w="755"/>
        <w:gridCol w:w="755"/>
        <w:gridCol w:w="1070"/>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Open Sans;sans-serif" w:hAnsi="Open Sans;sans-serif"/>
                <w:b w:val="false"/>
                <w:color w:val="000000"/>
                <w:sz w:val="18"/>
              </w:rPr>
            </w:pPr>
            <w:r>
              <w:rPr>
                <w:rFonts w:ascii="Open Sans;sans-serif" w:hAnsi="Open Sans;sans-serif"/>
                <w:b w:val="false"/>
                <w:color w:val="000000"/>
                <w:sz w:val="18"/>
              </w:rPr>
              <w:t>Date: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sans-serif" w:hAnsi="Open Sans;sans-serif"/>
                <w:b w:val="false"/>
                <w:color w:val="000000"/>
                <w:sz w:val="18"/>
              </w:rPr>
            </w:pPr>
            <w:r>
              <w:rPr>
                <w:rFonts w:ascii="Open Sans;sans-serif" w:hAnsi="Open Sans;sans-serif"/>
                <w:b w:val="false"/>
                <w:color w:val="000000"/>
                <w:sz w:val="18"/>
              </w:rPr>
              <w:t>By:</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Open Sans;sans-serif" w:hAnsi="Open Sans;sans-serif"/>
                <w:b w:val="false"/>
                <w:color w:val="000000"/>
                <w:sz w:val="18"/>
              </w:rPr>
              <w:t xml:space="preserve">/s/ </w:t>
            </w:r>
            <w:r>
              <w:rPr>
                <w:rFonts w:ascii="Open Sans;sans-serif" w:hAnsi="Open Sans;sans-serif"/>
                <w:b w:val="false"/>
                <w:color w:val="000000"/>
                <w:sz w:val="20"/>
              </w:rPr>
              <w:t>Patti Kangwankij</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120" w:after="283"/>
              <w:jc w:val="left"/>
              <w:rPr>
                <w:rFonts w:ascii="Open Sans;sans-serif" w:hAnsi="Open Sans;sans-serif"/>
                <w:b w:val="false"/>
                <w:color w:val="000000"/>
                <w:sz w:val="20"/>
              </w:rPr>
            </w:pPr>
            <w:r>
              <w:rPr>
                <w:rFonts w:ascii="Open Sans;sans-serif" w:hAnsi="Open Sans;sans-serif"/>
                <w:b w:val="false"/>
                <w:color w:val="000000"/>
                <w:sz w:val="20"/>
              </w:rPr>
              <w:t>Patti Kangwankij</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Chief Financial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Open Sans;sans-serif" w:hAnsi="Open Sans;sans-serif"/>
                <w:b w:val="false"/>
                <w:color w:val="000000"/>
                <w:sz w:val="18"/>
              </w:rPr>
            </w:pPr>
            <w:r>
              <w:rPr>
                <w:rFonts w:ascii="Open Sans;sans-serif" w:hAnsi="Open Sans;sans-serif"/>
                <w:b w:val="false"/>
                <w:color w:val="000000"/>
                <w:sz w:val="18"/>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Montserrat">
    <w:altName w:val="sans-serif"/>
    <w:charset w:val="01"/>
    <w:family w:val="auto"/>
    <w:pitch w:val="default"/>
  </w:font>
  <w:font w:name="Open Sans">
    <w:altName w:val="sans-serif"/>
    <w:charset w:val="01"/>
    <w:family w:val="auto"/>
    <w:pitch w:val="default"/>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2540/000152254026000048/marqeta-restatedcertificat.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21241</Words>
  <Characters>118571</Characters>
  <CharactersWithSpaces>138153</CharactersWithSpaces>
  <Paragraphs>2957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