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62230</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43815</wp:posOffset>
            </wp:positionV>
            <wp:extent cx="1979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1"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69215</wp:posOffset>
            </wp:positionV>
            <wp:extent cx="1979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Marqeta,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66675</wp:posOffset>
            </wp:positionV>
            <wp:extent cx="197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40" w:type="dxa"/>
            <w:vAlign w:val="bottom"/>
            <w:gridSpan w:val="3"/>
          </w:tcPr>
          <w:p>
            <w:pPr>
              <w:jc w:val="center"/>
              <w:ind w:left="624"/>
              <w:spacing w:after="0"/>
              <w:rPr>
                <w:sz w:val="20"/>
                <w:szCs w:val="20"/>
                <w:color w:val="auto"/>
              </w:rPr>
            </w:pPr>
            <w:r>
              <w:rPr>
                <w:rFonts w:ascii="Arial" w:cs="Arial" w:eastAsia="Arial" w:hAnsi="Arial"/>
                <w:sz w:val="18"/>
                <w:szCs w:val="18"/>
                <w:b w:val="1"/>
                <w:bCs w:val="1"/>
                <w:color w:val="auto"/>
              </w:rPr>
              <w:t>Delaware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60" w:type="dxa"/>
            <w:vAlign w:val="bottom"/>
          </w:tcPr>
          <w:p>
            <w:pPr>
              <w:jc w:val="right"/>
              <w:ind w:right="2243"/>
              <w:spacing w:after="0"/>
              <w:rPr>
                <w:sz w:val="20"/>
                <w:szCs w:val="20"/>
                <w:color w:val="auto"/>
              </w:rPr>
            </w:pPr>
            <w:r>
              <w:rPr>
                <w:rFonts w:ascii="Arial" w:cs="Arial" w:eastAsia="Arial" w:hAnsi="Arial"/>
                <w:sz w:val="18"/>
                <w:szCs w:val="18"/>
                <w:b w:val="1"/>
                <w:bCs w:val="1"/>
                <w:color w:val="auto"/>
              </w:rPr>
              <w:t>27-4306690</w:t>
            </w:r>
          </w:p>
        </w:tc>
      </w:tr>
      <w:tr>
        <w:trPr>
          <w:trHeight w:val="190"/>
        </w:trPr>
        <w:tc>
          <w:tcPr>
            <w:tcW w:w="4940" w:type="dxa"/>
            <w:vAlign w:val="bottom"/>
            <w:gridSpan w:val="3"/>
          </w:tcPr>
          <w:p>
            <w:pPr>
              <w:jc w:val="center"/>
              <w:ind w:left="624"/>
              <w:spacing w:after="0"/>
              <w:rPr>
                <w:sz w:val="20"/>
                <w:szCs w:val="20"/>
                <w:color w:val="auto"/>
              </w:rPr>
            </w:pPr>
            <w:r>
              <w:rPr>
                <w:rFonts w:ascii="Arial" w:cs="Arial" w:eastAsia="Arial" w:hAnsi="Arial"/>
                <w:sz w:val="14"/>
                <w:szCs w:val="14"/>
                <w:color w:val="auto"/>
              </w:rPr>
              <w:t>(State or other jurisdiction of incorporation or organization)</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1483"/>
              <w:spacing w:after="0"/>
              <w:rPr>
                <w:sz w:val="20"/>
                <w:szCs w:val="20"/>
                <w:color w:val="auto"/>
              </w:rPr>
            </w:pPr>
            <w:r>
              <w:rPr>
                <w:rFonts w:ascii="Arial" w:cs="Arial" w:eastAsia="Arial" w:hAnsi="Arial"/>
                <w:sz w:val="14"/>
                <w:szCs w:val="14"/>
                <w:color w:val="auto"/>
              </w:rPr>
              <w:t>(I.R.S. Employer Identification Number)</w:t>
            </w:r>
          </w:p>
        </w:tc>
      </w:tr>
      <w:tr>
        <w:trPr>
          <w:trHeight w:val="296"/>
        </w:trPr>
        <w:tc>
          <w:tcPr>
            <w:tcW w:w="4940" w:type="dxa"/>
            <w:vAlign w:val="bottom"/>
            <w:gridSpan w:val="3"/>
          </w:tcPr>
          <w:p>
            <w:pPr>
              <w:jc w:val="center"/>
              <w:ind w:left="604"/>
              <w:spacing w:after="0"/>
              <w:rPr>
                <w:sz w:val="20"/>
                <w:szCs w:val="20"/>
                <w:color w:val="auto"/>
              </w:rPr>
            </w:pPr>
            <w:r>
              <w:rPr>
                <w:rFonts w:ascii="Arial" w:cs="Arial" w:eastAsia="Arial" w:hAnsi="Arial"/>
                <w:sz w:val="18"/>
                <w:szCs w:val="18"/>
                <w:b w:val="1"/>
                <w:bCs w:val="1"/>
                <w:color w:val="auto"/>
                <w:w w:val="99"/>
              </w:rPr>
              <w:t>180 Grand Avenue, 6th Floor, Oakland, California</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jc w:val="right"/>
              <w:ind w:right="2483"/>
              <w:spacing w:after="0"/>
              <w:rPr>
                <w:sz w:val="20"/>
                <w:szCs w:val="20"/>
                <w:color w:val="auto"/>
              </w:rPr>
            </w:pPr>
            <w:r>
              <w:rPr>
                <w:rFonts w:ascii="Arial" w:cs="Arial" w:eastAsia="Arial" w:hAnsi="Arial"/>
                <w:sz w:val="18"/>
                <w:szCs w:val="18"/>
                <w:b w:val="1"/>
                <w:bCs w:val="1"/>
                <w:color w:val="auto"/>
              </w:rPr>
              <w:t>94612</w:t>
            </w:r>
          </w:p>
        </w:tc>
      </w:tr>
      <w:tr>
        <w:trPr>
          <w:trHeight w:val="190"/>
        </w:trPr>
        <w:tc>
          <w:tcPr>
            <w:tcW w:w="4940" w:type="dxa"/>
            <w:vAlign w:val="bottom"/>
            <w:gridSpan w:val="3"/>
          </w:tcPr>
          <w:p>
            <w:pPr>
              <w:jc w:val="center"/>
              <w:ind w:left="604"/>
              <w:spacing w:after="0"/>
              <w:rPr>
                <w:sz w:val="20"/>
                <w:szCs w:val="20"/>
                <w:color w:val="auto"/>
              </w:rPr>
            </w:pPr>
            <w:r>
              <w:rPr>
                <w:rFonts w:ascii="Arial" w:cs="Arial" w:eastAsia="Arial" w:hAnsi="Arial"/>
                <w:sz w:val="14"/>
                <w:szCs w:val="14"/>
                <w:color w:val="auto"/>
              </w:rPr>
              <w:t>(Address of principal executive offices)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60" w:type="dxa"/>
            <w:vAlign w:val="bottom"/>
          </w:tcPr>
          <w:p>
            <w:pPr>
              <w:jc w:val="center"/>
              <w:ind w:right="1463"/>
              <w:spacing w:after="0"/>
              <w:rPr>
                <w:sz w:val="20"/>
                <w:szCs w:val="20"/>
                <w:color w:val="auto"/>
              </w:rPr>
            </w:pPr>
            <w:r>
              <w:rPr>
                <w:rFonts w:ascii="Arial" w:cs="Arial" w:eastAsia="Arial" w:hAnsi="Arial"/>
                <w:sz w:val="14"/>
                <w:szCs w:val="14"/>
                <w:color w:val="auto"/>
              </w:rPr>
              <w:t>(Zip Code)</w:t>
            </w:r>
          </w:p>
        </w:tc>
      </w:tr>
      <w:tr>
        <w:trPr>
          <w:trHeight w:val="552"/>
        </w:trPr>
        <w:tc>
          <w:tcPr>
            <w:tcW w:w="4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(510) 671-5437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0"/>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62"/>
        </w:trPr>
        <w:tc>
          <w:tcPr>
            <w:tcW w:w="40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r>
      <w:tr>
        <w:trPr>
          <w:trHeight w:val="269"/>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28"/>
        </w:trPr>
        <w:tc>
          <w:tcPr>
            <w:tcW w:w="4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center"/>
              <w:ind w:right="703"/>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2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7"/>
              </w:rPr>
              <w:t>MQ</w:t>
            </w: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The Nasdaq Stock Market LLC</w:t>
            </w:r>
          </w:p>
        </w:tc>
      </w:tr>
      <w:tr>
        <w:trPr>
          <w:trHeight w:val="203"/>
        </w:trPr>
        <w:tc>
          <w:tcPr>
            <w:tcW w:w="4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60" w:type="dxa"/>
            <w:vAlign w:val="bottom"/>
          </w:tcPr>
          <w:p>
            <w:pPr>
              <w:jc w:val="center"/>
              <w:ind w:right="703"/>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95" w:lineRule="exact"/>
        <w:rPr>
          <w:sz w:val="24"/>
          <w:szCs w:val="24"/>
          <w:color w:val="auto"/>
        </w:rPr>
      </w:pPr>
    </w:p>
    <w:p>
      <w:pPr>
        <w:jc w:val="both"/>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22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640" w:type="dxa"/>
            <w:vAlign w:val="bottom"/>
          </w:tcPr>
          <w:p>
            <w:pPr>
              <w:ind w:left="222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1" w:lineRule="exact"/>
        <w:rPr>
          <w:sz w:val="24"/>
          <w:szCs w:val="24"/>
          <w:color w:val="auto"/>
        </w:rPr>
      </w:pPr>
    </w:p>
    <w:p>
      <w:pPr>
        <w:jc w:val="both"/>
        <w:ind w:right="30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April 30, 2025, there were 434,975,915 shares of the registrant's Class A common stock, par value $0.0001 per share, outstanding and 33,293,141 shares of the registrant's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40" w:type="dxa"/>
            <w:vAlign w:val="bottom"/>
            <w:gridSpan w:val="8"/>
          </w:tcPr>
          <w:p>
            <w:pPr>
              <w:ind w:left="8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47"/>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4"/>
          </w:tcPr>
          <w:p>
            <w:pPr>
              <w:ind w:left="1100"/>
              <w:spacing w:after="0"/>
              <w:rPr>
                <w:sz w:val="20"/>
                <w:szCs w:val="20"/>
                <w:color w:val="auto"/>
              </w:rPr>
            </w:pPr>
            <w:r>
              <w:rPr>
                <w:rFonts w:ascii="Arial" w:cs="Arial" w:eastAsia="Arial" w:hAnsi="Arial"/>
                <w:sz w:val="18"/>
                <w:szCs w:val="18"/>
                <w:b w:val="1"/>
                <w:bCs w:val="1"/>
                <w:color w:val="auto"/>
                <w:w w:val="92"/>
              </w:rPr>
              <w:t>Page</w:t>
            </w:r>
          </w:p>
        </w:tc>
      </w:tr>
      <w:tr>
        <w:trPr>
          <w:trHeight w:val="210"/>
        </w:trPr>
        <w:tc>
          <w:tcPr>
            <w:tcW w:w="9400" w:type="dxa"/>
            <w:vAlign w:val="bottom"/>
            <w:gridSpan w:val="22"/>
          </w:tcPr>
          <w:p>
            <w:pPr>
              <w:spacing w:after="0"/>
              <w:rPr>
                <w:sz w:val="20"/>
                <w:szCs w:val="20"/>
                <w:color w:val="auto"/>
              </w:rPr>
            </w:pPr>
            <w:r>
              <w:rPr>
                <w:rFonts w:ascii="Arial" w:cs="Arial" w:eastAsia="Arial" w:hAnsi="Arial"/>
                <w:sz w:val="18"/>
                <w:szCs w:val="18"/>
                <w:color w:val="0000FF"/>
              </w:rPr>
              <w:t>Note About Forward-Looking Statements</w:t>
            </w:r>
          </w:p>
        </w:tc>
        <w:tc>
          <w:tcPr>
            <w:tcW w:w="1100" w:type="dxa"/>
            <w:vAlign w:val="bottom"/>
          </w:tcPr>
          <w:p>
            <w:pPr>
              <w:spacing w:after="0"/>
              <w:rPr>
                <w:sz w:val="18"/>
                <w:szCs w:val="18"/>
                <w:color w:val="auto"/>
              </w:rPr>
            </w:pPr>
          </w:p>
        </w:tc>
        <w:tc>
          <w:tcPr>
            <w:tcW w:w="260" w:type="dxa"/>
            <w:vAlign w:val="bottom"/>
            <w:tcBorders>
              <w:top w:val="single" w:sz="8" w:color="auto"/>
            </w:tcBorders>
            <w:gridSpan w:val="2"/>
          </w:tcPr>
          <w:p>
            <w:pPr>
              <w:jc w:val="center"/>
              <w:ind w:left="70"/>
              <w:spacing w:after="0"/>
              <w:rPr>
                <w:sz w:val="20"/>
                <w:szCs w:val="20"/>
                <w:color w:val="auto"/>
              </w:rPr>
            </w:pPr>
            <w:r>
              <w:rPr>
                <w:rFonts w:ascii="Arial" w:cs="Arial" w:eastAsia="Arial" w:hAnsi="Arial"/>
                <w:sz w:val="18"/>
                <w:szCs w:val="18"/>
                <w:color w:val="0000FF"/>
                <w:w w:val="99"/>
              </w:rPr>
              <w:t>3</w:t>
            </w:r>
          </w:p>
        </w:tc>
        <w:tc>
          <w:tcPr>
            <w:tcW w:w="160" w:type="dxa"/>
            <w:vAlign w:val="bottom"/>
            <w:tcBorders>
              <w:top w:val="single" w:sz="8" w:color="auto"/>
            </w:tcBorders>
          </w:tcPr>
          <w:p>
            <w:pPr>
              <w:spacing w:after="0"/>
              <w:rPr>
                <w:sz w:val="18"/>
                <w:szCs w:val="18"/>
                <w:color w:val="auto"/>
              </w:rPr>
            </w:pPr>
          </w:p>
        </w:tc>
      </w:tr>
      <w:tr>
        <w:trPr>
          <w:trHeight w:val="515"/>
        </w:trPr>
        <w:tc>
          <w:tcPr>
            <w:tcW w:w="3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5620" w:type="dxa"/>
            <w:vAlign w:val="bottom"/>
            <w:gridSpan w:val="9"/>
          </w:tcPr>
          <w:p>
            <w:pPr>
              <w:ind w:left="720"/>
              <w:spacing w:after="0"/>
              <w:rPr>
                <w:sz w:val="20"/>
                <w:szCs w:val="20"/>
                <w:color w:val="auto"/>
              </w:rPr>
            </w:pPr>
            <w:r>
              <w:rPr>
                <w:rFonts w:ascii="Arial" w:cs="Arial" w:eastAsia="Arial" w:hAnsi="Arial"/>
                <w:sz w:val="18"/>
                <w:szCs w:val="18"/>
                <w:b w:val="1"/>
                <w:bCs w:val="1"/>
                <w:color w:val="auto"/>
              </w:rPr>
              <w:t>Part I - Financial Information</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560" w:type="dxa"/>
            <w:vAlign w:val="bottom"/>
          </w:tcPr>
          <w:p>
            <w:pPr>
              <w:jc w:val="center"/>
              <w:spacing w:after="0" w:line="195" w:lineRule="exact"/>
              <w:rPr>
                <w:sz w:val="20"/>
                <w:szCs w:val="20"/>
                <w:color w:val="auto"/>
              </w:rPr>
            </w:pPr>
            <w:r>
              <w:rPr>
                <w:rFonts w:ascii="Arial" w:cs="Arial" w:eastAsia="Arial" w:hAnsi="Arial"/>
                <w:sz w:val="18"/>
                <w:szCs w:val="18"/>
                <w:color w:val="0000FF"/>
              </w:rPr>
              <w:t>Item 1.</w:t>
            </w:r>
          </w:p>
        </w:tc>
        <w:tc>
          <w:tcPr>
            <w:tcW w:w="360" w:type="dxa"/>
            <w:vAlign w:val="bottom"/>
            <w:gridSpan w:val="2"/>
          </w:tcPr>
          <w:p>
            <w:pPr>
              <w:spacing w:after="0"/>
              <w:rPr>
                <w:sz w:val="16"/>
                <w:szCs w:val="16"/>
                <w:color w:val="auto"/>
              </w:rPr>
            </w:pPr>
          </w:p>
        </w:tc>
        <w:tc>
          <w:tcPr>
            <w:tcW w:w="380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Condensed Consolidated Financial Statements:</w:t>
            </w:r>
          </w:p>
        </w:tc>
        <w:tc>
          <w:tcPr>
            <w:tcW w:w="4360" w:type="dxa"/>
            <w:vAlign w:val="bottom"/>
            <w:gridSpan w:val="7"/>
          </w:tcPr>
          <w:p>
            <w:pPr>
              <w:spacing w:after="0"/>
              <w:rPr>
                <w:sz w:val="16"/>
                <w:szCs w:val="16"/>
                <w:color w:val="auto"/>
              </w:rPr>
            </w:pPr>
          </w:p>
        </w:tc>
        <w:tc>
          <w:tcPr>
            <w:tcW w:w="1360" w:type="dxa"/>
            <w:vAlign w:val="bottom"/>
            <w:gridSpan w:val="3"/>
          </w:tcPr>
          <w:p>
            <w:pPr>
              <w:jc w:val="center"/>
              <w:ind w:left="1170"/>
              <w:spacing w:after="0" w:line="195" w:lineRule="exact"/>
              <w:rPr>
                <w:sz w:val="20"/>
                <w:szCs w:val="20"/>
                <w:color w:val="auto"/>
              </w:rPr>
            </w:pPr>
            <w:r>
              <w:rPr>
                <w:rFonts w:ascii="Arial" w:cs="Arial" w:eastAsia="Arial" w:hAnsi="Arial"/>
                <w:sz w:val="18"/>
                <w:szCs w:val="18"/>
                <w:color w:val="0000FF"/>
                <w:w w:val="99"/>
              </w:rPr>
              <w:t>5</w:t>
            </w:r>
          </w:p>
        </w:tc>
        <w:tc>
          <w:tcPr>
            <w:tcW w:w="16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11"/>
          </w:tcPr>
          <w:p>
            <w:pPr>
              <w:spacing w:after="0"/>
              <w:rPr>
                <w:sz w:val="20"/>
                <w:szCs w:val="20"/>
                <w:color w:val="auto"/>
              </w:rPr>
            </w:pPr>
            <w:r>
              <w:rPr>
                <w:rFonts w:ascii="Arial" w:cs="Arial" w:eastAsia="Arial" w:hAnsi="Arial"/>
                <w:sz w:val="18"/>
                <w:szCs w:val="18"/>
                <w:color w:val="0000FF"/>
              </w:rPr>
              <w:t>Condensed Consolidated Balance Sheets</w:t>
            </w:r>
          </w:p>
        </w:tc>
        <w:tc>
          <w:tcPr>
            <w:tcW w:w="4360" w:type="dxa"/>
            <w:vAlign w:val="bottom"/>
            <w:gridSpan w:val="7"/>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5</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Operations and Comprehensive Loss</w:t>
            </w:r>
          </w:p>
        </w:tc>
        <w:tc>
          <w:tcPr>
            <w:tcW w:w="1960" w:type="dxa"/>
            <w:vAlign w:val="bottom"/>
            <w:gridSpan w:val="2"/>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6</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gridSpan w:val="15"/>
          </w:tcPr>
          <w:p>
            <w:pPr>
              <w:spacing w:after="0"/>
              <w:rPr>
                <w:sz w:val="20"/>
                <w:szCs w:val="20"/>
                <w:color w:val="auto"/>
              </w:rPr>
            </w:pPr>
            <w:r>
              <w:rPr>
                <w:rFonts w:ascii="Arial" w:cs="Arial" w:eastAsia="Arial" w:hAnsi="Arial"/>
                <w:sz w:val="18"/>
                <w:szCs w:val="18"/>
                <w:color w:val="0000FF"/>
                <w:w w:val="98"/>
              </w:rPr>
              <w:t>Condensed Consolidated Statements of Stockholders' Equity</w:t>
            </w:r>
          </w:p>
        </w:tc>
        <w:tc>
          <w:tcPr>
            <w:tcW w:w="136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7</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4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3320" w:type="dxa"/>
            <w:vAlign w:val="bottom"/>
            <w:gridSpan w:val="3"/>
          </w:tcPr>
          <w:p>
            <w:pPr>
              <w:spacing w:after="0"/>
              <w:rPr>
                <w:sz w:val="18"/>
                <w:szCs w:val="18"/>
                <w:color w:val="auto"/>
              </w:rPr>
            </w:pPr>
          </w:p>
        </w:tc>
        <w:tc>
          <w:tcPr>
            <w:tcW w:w="1360" w:type="dxa"/>
            <w:vAlign w:val="bottom"/>
            <w:gridSpan w:val="3"/>
          </w:tcPr>
          <w:p>
            <w:pPr>
              <w:jc w:val="center"/>
              <w:ind w:left="1170"/>
              <w:spacing w:after="0"/>
              <w:rPr>
                <w:sz w:val="20"/>
                <w:szCs w:val="20"/>
                <w:color w:val="auto"/>
              </w:rPr>
            </w:pPr>
            <w:r>
              <w:rPr>
                <w:rFonts w:ascii="Arial" w:cs="Arial" w:eastAsia="Arial" w:hAnsi="Arial"/>
                <w:sz w:val="18"/>
                <w:szCs w:val="18"/>
                <w:color w:val="0000FF"/>
                <w:w w:val="99"/>
              </w:rPr>
              <w:t>8</w:t>
            </w:r>
          </w:p>
        </w:tc>
        <w:tc>
          <w:tcPr>
            <w:tcW w:w="1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520" w:type="dxa"/>
            <w:vAlign w:val="bottom"/>
            <w:gridSpan w:val="4"/>
          </w:tcPr>
          <w:p>
            <w:pPr>
              <w:jc w:val="center"/>
              <w:ind w:left="990"/>
              <w:spacing w:after="0"/>
              <w:rPr>
                <w:sz w:val="20"/>
                <w:szCs w:val="20"/>
                <w:color w:val="auto"/>
              </w:rPr>
            </w:pPr>
            <w:r>
              <w:rPr>
                <w:rFonts w:ascii="Arial" w:cs="Arial" w:eastAsia="Arial" w:hAnsi="Arial"/>
                <w:sz w:val="18"/>
                <w:szCs w:val="18"/>
                <w:color w:val="0000FF"/>
                <w:w w:val="99"/>
              </w:rPr>
              <w:t>10</w:t>
            </w: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360" w:type="dxa"/>
            <w:vAlign w:val="bottom"/>
            <w:gridSpan w:val="2"/>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center"/>
              <w:ind w:left="990"/>
              <w:spacing w:after="0"/>
              <w:rPr>
                <w:sz w:val="20"/>
                <w:szCs w:val="20"/>
                <w:color w:val="auto"/>
              </w:rPr>
            </w:pPr>
            <w:r>
              <w:rPr>
                <w:rFonts w:ascii="Arial" w:cs="Arial" w:eastAsia="Arial" w:hAnsi="Arial"/>
                <w:sz w:val="18"/>
                <w:szCs w:val="18"/>
                <w:color w:val="0000FF"/>
                <w:w w:val="99"/>
              </w:rPr>
              <w:t>22</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3.</w:t>
            </w:r>
          </w:p>
        </w:tc>
        <w:tc>
          <w:tcPr>
            <w:tcW w:w="360" w:type="dxa"/>
            <w:vAlign w:val="bottom"/>
            <w:gridSpan w:val="2"/>
          </w:tcPr>
          <w:p>
            <w:pPr>
              <w:spacing w:after="0"/>
              <w:rPr>
                <w:sz w:val="18"/>
                <w:szCs w:val="18"/>
                <w:color w:val="auto"/>
              </w:rPr>
            </w:pP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34</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4.</w:t>
            </w:r>
          </w:p>
        </w:tc>
        <w:tc>
          <w:tcPr>
            <w:tcW w:w="360" w:type="dxa"/>
            <w:vAlign w:val="bottom"/>
            <w:gridSpan w:val="2"/>
          </w:tcPr>
          <w:p>
            <w:pPr>
              <w:spacing w:after="0"/>
              <w:rPr>
                <w:sz w:val="18"/>
                <w:szCs w:val="18"/>
                <w:color w:val="auto"/>
              </w:rPr>
            </w:pP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460" w:type="dxa"/>
            <w:vAlign w:val="bottom"/>
            <w:gridSpan w:val="4"/>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35</w:t>
            </w:r>
          </w:p>
        </w:tc>
      </w:tr>
      <w:tr>
        <w:trPr>
          <w:trHeight w:val="515"/>
        </w:trPr>
        <w:tc>
          <w:tcPr>
            <w:tcW w:w="3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8"/>
          </w:tcPr>
          <w:p>
            <w:pPr>
              <w:ind w:left="60"/>
              <w:spacing w:after="0"/>
              <w:rPr>
                <w:sz w:val="20"/>
                <w:szCs w:val="20"/>
                <w:color w:val="auto"/>
              </w:rPr>
            </w:pPr>
            <w:r>
              <w:rPr>
                <w:rFonts w:ascii="Arial" w:cs="Arial" w:eastAsia="Arial" w:hAnsi="Arial"/>
                <w:sz w:val="18"/>
                <w:szCs w:val="18"/>
                <w:b w:val="1"/>
                <w:bCs w:val="1"/>
                <w:color w:val="auto"/>
              </w:rPr>
              <w:t>Part II - Other Information</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920" w:type="dxa"/>
            <w:vAlign w:val="bottom"/>
            <w:gridSpan w:val="3"/>
          </w:tcPr>
          <w:p>
            <w:pPr>
              <w:jc w:val="center"/>
              <w:ind w:right="360"/>
              <w:spacing w:after="0" w:line="195" w:lineRule="exact"/>
              <w:rPr>
                <w:sz w:val="20"/>
                <w:szCs w:val="20"/>
                <w:color w:val="auto"/>
              </w:rPr>
            </w:pPr>
            <w:r>
              <w:rPr>
                <w:rFonts w:ascii="Arial" w:cs="Arial" w:eastAsia="Arial" w:hAnsi="Arial"/>
                <w:sz w:val="18"/>
                <w:szCs w:val="18"/>
                <w:color w:val="0000FF"/>
              </w:rPr>
              <w:t>Item 1.</w:t>
            </w:r>
          </w:p>
        </w:tc>
        <w:tc>
          <w:tcPr>
            <w:tcW w:w="8160" w:type="dxa"/>
            <w:vAlign w:val="bottom"/>
            <w:gridSpan w:val="18"/>
          </w:tcPr>
          <w:p>
            <w:pPr>
              <w:spacing w:after="0" w:line="195" w:lineRule="exact"/>
              <w:rPr>
                <w:sz w:val="20"/>
                <w:szCs w:val="20"/>
                <w:color w:val="auto"/>
              </w:rPr>
            </w:pPr>
            <w:r>
              <w:rPr>
                <w:rFonts w:ascii="Arial" w:cs="Arial" w:eastAsia="Arial" w:hAnsi="Arial"/>
                <w:sz w:val="18"/>
                <w:szCs w:val="18"/>
                <w:color w:val="0000FF"/>
              </w:rPr>
              <w:t>Legal Proceedings</w:t>
            </w:r>
          </w:p>
        </w:tc>
        <w:tc>
          <w:tcPr>
            <w:tcW w:w="1520" w:type="dxa"/>
            <w:vAlign w:val="bottom"/>
            <w:gridSpan w:val="4"/>
          </w:tcPr>
          <w:p>
            <w:pPr>
              <w:jc w:val="center"/>
              <w:ind w:left="990"/>
              <w:spacing w:after="0" w:line="195" w:lineRule="exact"/>
              <w:rPr>
                <w:sz w:val="20"/>
                <w:szCs w:val="20"/>
                <w:color w:val="auto"/>
              </w:rPr>
            </w:pPr>
            <w:r>
              <w:rPr>
                <w:rFonts w:ascii="Arial" w:cs="Arial" w:eastAsia="Arial" w:hAnsi="Arial"/>
                <w:sz w:val="18"/>
                <w:szCs w:val="18"/>
                <w:color w:val="0000FF"/>
                <w:w w:val="99"/>
              </w:rPr>
              <w:t>36</w:t>
            </w:r>
          </w:p>
        </w:tc>
      </w:tr>
      <w:tr>
        <w:trPr>
          <w:trHeight w:val="210"/>
        </w:trPr>
        <w:tc>
          <w:tcPr>
            <w:tcW w:w="3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0000FF"/>
                <w:w w:val="92"/>
              </w:rPr>
              <w:t>Item 1A.</w:t>
            </w:r>
          </w:p>
        </w:tc>
        <w:tc>
          <w:tcPr>
            <w:tcW w:w="300" w:type="dxa"/>
            <w:vAlign w:val="bottom"/>
          </w:tcPr>
          <w:p>
            <w:pPr>
              <w:spacing w:after="0"/>
              <w:rPr>
                <w:sz w:val="18"/>
                <w:szCs w:val="18"/>
                <w:color w:val="auto"/>
              </w:rPr>
            </w:pPr>
          </w:p>
        </w:tc>
        <w:tc>
          <w:tcPr>
            <w:tcW w:w="10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6680" w:type="dxa"/>
            <w:vAlign w:val="bottom"/>
            <w:gridSpan w:val="13"/>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36</w:t>
            </w:r>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20" w:type="dxa"/>
            <w:vAlign w:val="bottom"/>
            <w:gridSpan w:val="4"/>
          </w:tcPr>
          <w:p>
            <w:pPr>
              <w:jc w:val="center"/>
              <w:ind w:left="990"/>
              <w:spacing w:after="0"/>
              <w:rPr>
                <w:sz w:val="20"/>
                <w:szCs w:val="20"/>
                <w:color w:val="auto"/>
              </w:rPr>
            </w:pPr>
            <w:r>
              <w:rPr>
                <w:rFonts w:ascii="Arial" w:cs="Arial" w:eastAsia="Arial" w:hAnsi="Arial"/>
                <w:sz w:val="18"/>
                <w:szCs w:val="18"/>
                <w:color w:val="0000FF"/>
                <w:w w:val="99"/>
              </w:rPr>
              <w:t>37</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3.</w:t>
            </w:r>
          </w:p>
        </w:tc>
        <w:tc>
          <w:tcPr>
            <w:tcW w:w="360" w:type="dxa"/>
            <w:vAlign w:val="bottom"/>
            <w:gridSpan w:val="2"/>
          </w:tcPr>
          <w:p>
            <w:pPr>
              <w:spacing w:after="0"/>
              <w:rPr>
                <w:sz w:val="18"/>
                <w:szCs w:val="18"/>
                <w:color w:val="auto"/>
              </w:rPr>
            </w:pP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320" w:type="dxa"/>
            <w:vAlign w:val="bottom"/>
            <w:gridSpan w:val="3"/>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37</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4.</w:t>
            </w:r>
          </w:p>
        </w:tc>
        <w:tc>
          <w:tcPr>
            <w:tcW w:w="360" w:type="dxa"/>
            <w:vAlign w:val="bottom"/>
            <w:gridSpan w:val="2"/>
          </w:tcPr>
          <w:p>
            <w:pPr>
              <w:spacing w:after="0"/>
              <w:rPr>
                <w:sz w:val="18"/>
                <w:szCs w:val="18"/>
                <w:color w:val="auto"/>
              </w:rPr>
            </w:pP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5620" w:type="dxa"/>
            <w:vAlign w:val="bottom"/>
            <w:gridSpan w:val="9"/>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37</w:t>
            </w:r>
          </w:p>
        </w:tc>
      </w:tr>
      <w:tr>
        <w:trPr>
          <w:trHeight w:val="209"/>
        </w:trPr>
        <w:tc>
          <w:tcPr>
            <w:tcW w:w="320" w:type="dxa"/>
            <w:vAlign w:val="bottom"/>
          </w:tcPr>
          <w:p>
            <w:pPr>
              <w:spacing w:after="0"/>
              <w:rPr>
                <w:sz w:val="18"/>
                <w:szCs w:val="18"/>
                <w:color w:val="auto"/>
              </w:rPr>
            </w:pPr>
          </w:p>
        </w:tc>
        <w:tc>
          <w:tcPr>
            <w:tcW w:w="56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rPr>
              <w:t>Item 5.</w:t>
            </w:r>
          </w:p>
        </w:tc>
        <w:tc>
          <w:tcPr>
            <w:tcW w:w="360" w:type="dxa"/>
            <w:vAlign w:val="bottom"/>
            <w:tcBorders>
              <w:top w:val="single" w:sz="8" w:color="0000FF"/>
            </w:tcBorders>
            <w:gridSpan w:val="2"/>
          </w:tcPr>
          <w:p>
            <w:pPr>
              <w:spacing w:after="0"/>
              <w:rPr>
                <w:sz w:val="18"/>
                <w:szCs w:val="18"/>
                <w:color w:val="auto"/>
              </w:rPr>
            </w:pPr>
          </w:p>
        </w:tc>
        <w:tc>
          <w:tcPr>
            <w:tcW w:w="1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2"/>
          </w:tcPr>
          <w:p>
            <w:pPr>
              <w:spacing w:after="0"/>
              <w:rPr>
                <w:sz w:val="18"/>
                <w:szCs w:val="18"/>
                <w:color w:val="auto"/>
              </w:rPr>
            </w:pPr>
          </w:p>
        </w:tc>
        <w:tc>
          <w:tcPr>
            <w:tcW w:w="6240" w:type="dxa"/>
            <w:vAlign w:val="bottom"/>
            <w:gridSpan w:val="12"/>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37</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760" w:type="dxa"/>
            <w:vAlign w:val="bottom"/>
            <w:gridSpan w:val="14"/>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0000FF"/>
              </w:rPr>
              <w:t>Item 6.</w:t>
            </w:r>
          </w:p>
        </w:tc>
        <w:tc>
          <w:tcPr>
            <w:tcW w:w="360" w:type="dxa"/>
            <w:vAlign w:val="bottom"/>
            <w:gridSpan w:val="2"/>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6760" w:type="dxa"/>
            <w:vAlign w:val="bottom"/>
            <w:gridSpan w:val="14"/>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38</w:t>
            </w:r>
          </w:p>
        </w:tc>
      </w:tr>
      <w:tr>
        <w:trPr>
          <w:trHeight w:val="20"/>
        </w:trPr>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7300" w:type="dxa"/>
            <w:vAlign w:val="bottom"/>
            <w:gridSpan w:val="16"/>
          </w:tcPr>
          <w:p>
            <w:pPr>
              <w:spacing w:after="0"/>
              <w:rPr>
                <w:sz w:val="18"/>
                <w:szCs w:val="18"/>
                <w:color w:val="auto"/>
              </w:rPr>
            </w:pPr>
          </w:p>
        </w:tc>
        <w:tc>
          <w:tcPr>
            <w:tcW w:w="1260" w:type="dxa"/>
            <w:vAlign w:val="bottom"/>
            <w:gridSpan w:val="2"/>
          </w:tcPr>
          <w:p>
            <w:pPr>
              <w:spacing w:after="0"/>
              <w:rPr>
                <w:sz w:val="18"/>
                <w:szCs w:val="18"/>
                <w:color w:val="auto"/>
              </w:rPr>
            </w:pPr>
          </w:p>
        </w:tc>
        <w:tc>
          <w:tcPr>
            <w:tcW w:w="260" w:type="dxa"/>
            <w:vAlign w:val="bottom"/>
            <w:gridSpan w:val="2"/>
          </w:tcPr>
          <w:p>
            <w:pPr>
              <w:jc w:val="center"/>
              <w:ind w:right="120"/>
              <w:spacing w:after="0"/>
              <w:rPr>
                <w:sz w:val="20"/>
                <w:szCs w:val="20"/>
                <w:color w:val="auto"/>
              </w:rPr>
            </w:pPr>
            <w:r>
              <w:rPr>
                <w:rFonts w:ascii="Arial" w:cs="Arial" w:eastAsia="Arial" w:hAnsi="Arial"/>
                <w:sz w:val="17"/>
                <w:szCs w:val="17"/>
                <w:color w:val="0000FF"/>
                <w:w w:val="73"/>
              </w:rPr>
              <w:t>39</w:t>
            </w: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931" w:right="6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related to U.S. and global economies and the effect on our business, results of operations, and financial condition;</w:t>
      </w:r>
    </w:p>
    <w:p>
      <w:pPr>
        <w:spacing w:after="0" w:line="63" w:lineRule="exact"/>
        <w:rPr>
          <w:rFonts w:ascii="Arial" w:cs="Arial" w:eastAsia="Arial" w:hAnsi="Arial"/>
          <w:sz w:val="18"/>
          <w:szCs w:val="18"/>
          <w:i w:val="1"/>
          <w:iCs w:val="1"/>
          <w:color w:val="auto"/>
        </w:rPr>
      </w:pPr>
    </w:p>
    <w:p>
      <w:pPr>
        <w:ind w:left="660" w:hanging="328"/>
        <w:spacing w:after="0" w:line="281" w:lineRule="auto"/>
        <w:tabs>
          <w:tab w:leader="none" w:pos="642"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and any fluctuations in such performance, including our net revenue, costs of revenue, gross profit, and operating expenses, and our ability to achieve future profitability;</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scale new products and services, such as our credit card platform;</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expand our operations;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enhance our platform and services and develop and expand our capabilities;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further attract, retain, diversify, and expand our customer base;</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our relationships with Issuing Banks, Card Networks, and the other third parties with which we work;</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plans to expand internationally;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past and future acquisitions, investments, and other strategic investments;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existing and new markets and offerings;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social, and/or economic instability or military conflict;</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and protect our brand;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in laws and regulations and our ability to comply with laws and regulations;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defend litigation brought against us;</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repurchase shares under authorized share repurchase programs and receive expected financial benefits; and</w:t>
      </w:r>
    </w:p>
    <w:p>
      <w:pPr>
        <w:spacing w:after="0" w:line="63" w:lineRule="exact"/>
        <w:rPr>
          <w:rFonts w:ascii="Arial" w:cs="Arial" w:eastAsia="Arial" w:hAnsi="Arial"/>
          <w:sz w:val="18"/>
          <w:szCs w:val="18"/>
          <w:i w:val="1"/>
          <w:iCs w:val="1"/>
          <w:color w:val="auto"/>
        </w:rPr>
      </w:pPr>
    </w:p>
    <w:p>
      <w:pPr>
        <w:ind w:left="640" w:hanging="308"/>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effective disclosure controls and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both"/>
        <w:spacing w:after="0" w:line="252" w:lineRule="auto"/>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or incorporated by reference in the section titled “Risk Factors” and elsewhere in this Quarterly Report on Form 10-Q and in our most recently filed Annual Report on Form 10-K for the fiscal year ended December 31, 2024 (the “2024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8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2024</w:t>
            </w: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830,897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923,016</w:t>
            </w:r>
          </w:p>
        </w:tc>
      </w:tr>
      <w:tr>
        <w:trPr>
          <w:trHeight w:val="201"/>
        </w:trPr>
        <w:tc>
          <w:tcPr>
            <w:tcW w:w="828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8,500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8,500</w:t>
            </w:r>
          </w:p>
        </w:tc>
      </w:tr>
      <w:tr>
        <w:trPr>
          <w:trHeight w:val="24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Short-term investments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157,540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179,409</w:t>
            </w:r>
          </w:p>
        </w:tc>
      </w:tr>
      <w:tr>
        <w:trPr>
          <w:trHeight w:val="201"/>
        </w:trPr>
        <w:tc>
          <w:tcPr>
            <w:tcW w:w="8280" w:type="dxa"/>
            <w:vAlign w:val="bottom"/>
          </w:tcPr>
          <w:p>
            <w:pPr>
              <w:ind w:left="14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28,429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29,988</w:t>
            </w: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Settlements receivable,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16,203</w:t>
            </w:r>
          </w:p>
        </w:tc>
      </w:tr>
      <w:tr>
        <w:trPr>
          <w:trHeight w:val="240"/>
        </w:trPr>
        <w:tc>
          <w:tcPr>
            <w:tcW w:w="8280" w:type="dxa"/>
            <w:vAlign w:val="bottom"/>
          </w:tcPr>
          <w:p>
            <w:pPr>
              <w:ind w:left="140"/>
              <w:spacing w:after="0"/>
              <w:rPr>
                <w:sz w:val="20"/>
                <w:szCs w:val="20"/>
                <w:color w:val="auto"/>
              </w:rPr>
            </w:pPr>
            <w:r>
              <w:rPr>
                <w:rFonts w:ascii="Arial" w:cs="Arial" w:eastAsia="Arial" w:hAnsi="Arial"/>
                <w:sz w:val="15"/>
                <w:szCs w:val="15"/>
                <w:color w:val="auto"/>
              </w:rPr>
              <w:t>Network incentives receivable</w:t>
            </w:r>
          </w:p>
        </w:tc>
        <w:tc>
          <w:tcPr>
            <w:tcW w:w="260" w:type="dxa"/>
            <w:vAlign w:val="bottom"/>
          </w:tcPr>
          <w:p>
            <w:pPr>
              <w:spacing w:after="0"/>
              <w:rPr>
                <w:sz w:val="20"/>
                <w:szCs w:val="20"/>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64,940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66,776</w:t>
            </w:r>
          </w:p>
        </w:tc>
      </w:tr>
      <w:tr>
        <w:trPr>
          <w:trHeight w:val="206"/>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29,943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25,405</w:t>
            </w:r>
          </w:p>
        </w:tc>
      </w:tr>
      <w:tr>
        <w:trPr>
          <w:trHeight w:val="195"/>
        </w:trPr>
        <w:tc>
          <w:tcPr>
            <w:tcW w:w="828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1,134,657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1,249,297</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2,712</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42,580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37,523</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28,310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29,774</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123,523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123,523</w:t>
            </w:r>
          </w:p>
        </w:tc>
      </w:tr>
      <w:tr>
        <w:trPr>
          <w:trHeight w:val="203"/>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18,380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20,375</w:t>
            </w:r>
          </w:p>
        </w:tc>
      </w:tr>
      <w:tr>
        <w:trPr>
          <w:trHeight w:val="197"/>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1,349,627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1,463,204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82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527</w:t>
            </w:r>
          </w:p>
        </w:tc>
      </w:tr>
      <w:tr>
        <w:trPr>
          <w:trHeight w:val="201"/>
        </w:trPr>
        <w:tc>
          <w:tcPr>
            <w:tcW w:w="8280" w:type="dxa"/>
            <w:vAlign w:val="bottom"/>
          </w:tcPr>
          <w:p>
            <w:pPr>
              <w:ind w:left="140"/>
              <w:spacing w:after="0"/>
              <w:rPr>
                <w:sz w:val="20"/>
                <w:szCs w:val="20"/>
                <w:color w:val="auto"/>
              </w:rPr>
            </w:pPr>
            <w:r>
              <w:rPr>
                <w:rFonts w:ascii="Arial" w:cs="Arial" w:eastAsia="Arial" w:hAnsi="Arial"/>
                <w:sz w:val="15"/>
                <w:szCs w:val="15"/>
                <w:color w:val="auto"/>
              </w:rPr>
              <w:t>Revenue share payable</w:t>
            </w: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209,415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193,399</w:t>
            </w:r>
          </w:p>
        </w:tc>
      </w:tr>
      <w:tr>
        <w:trPr>
          <w:trHeight w:val="204"/>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146,008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177,059</w:t>
            </w:r>
          </w:p>
        </w:tc>
      </w:tr>
      <w:tr>
        <w:trPr>
          <w:trHeight w:val="195"/>
        </w:trPr>
        <w:tc>
          <w:tcPr>
            <w:tcW w:w="828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356,973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370,985</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870</w:t>
            </w:r>
          </w:p>
        </w:tc>
      </w:tr>
      <w:tr>
        <w:trPr>
          <w:trHeight w:val="20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5,368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6,331</w:t>
            </w:r>
          </w:p>
        </w:tc>
      </w:tr>
      <w:tr>
        <w:trPr>
          <w:trHeight w:val="197"/>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362,367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378,186</w:t>
            </w:r>
          </w:p>
        </w:tc>
      </w:tr>
      <w:tr>
        <w:trPr>
          <w:trHeight w:val="181"/>
        </w:trPr>
        <w:tc>
          <w:tcPr>
            <w:tcW w:w="8280" w:type="dxa"/>
            <w:vAlign w:val="bottom"/>
          </w:tcPr>
          <w:p>
            <w:pPr>
              <w:ind w:left="20"/>
              <w:spacing w:after="0"/>
              <w:rPr>
                <w:sz w:val="20"/>
                <w:szCs w:val="20"/>
                <w:color w:val="auto"/>
              </w:rPr>
            </w:pPr>
            <w:r>
              <w:rPr>
                <w:rFonts w:ascii="Arial" w:cs="Arial" w:eastAsia="Arial" w:hAnsi="Arial"/>
                <w:sz w:val="15"/>
                <w:szCs w:val="15"/>
                <w:color w:val="auto"/>
              </w:rPr>
              <w:t>Commitments and contingencies (Note 9)</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9"/>
        </w:trPr>
        <w:tc>
          <w:tcPr>
            <w:tcW w:w="8280" w:type="dxa"/>
            <w:vAlign w:val="bottom"/>
          </w:tcPr>
          <w:p>
            <w:pPr>
              <w:ind w:left="20"/>
              <w:spacing w:after="0"/>
              <w:rPr>
                <w:sz w:val="20"/>
                <w:szCs w:val="20"/>
                <w:color w:val="auto"/>
              </w:rPr>
            </w:pPr>
            <w:r>
              <w:rPr>
                <w:rFonts w:ascii="Arial" w:cs="Arial" w:eastAsia="Arial" w:hAnsi="Arial"/>
                <w:sz w:val="15"/>
                <w:szCs w:val="15"/>
                <w:color w:val="auto"/>
              </w:rPr>
              <w:t>Preferred stock, $0.0001 par value; 100,000 and 100,000 shares authorized, no shares issued and outstanding as of</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7"/>
        </w:trPr>
        <w:tc>
          <w:tcPr>
            <w:tcW w:w="8280" w:type="dxa"/>
            <w:vAlign w:val="bottom"/>
          </w:tcPr>
          <w:p>
            <w:pPr>
              <w:ind w:left="20"/>
              <w:spacing w:after="0"/>
              <w:rPr>
                <w:sz w:val="20"/>
                <w:szCs w:val="20"/>
                <w:color w:val="auto"/>
              </w:rPr>
            </w:pPr>
            <w:r>
              <w:rPr>
                <w:rFonts w:ascii="Arial" w:cs="Arial" w:eastAsia="Arial" w:hAnsi="Arial"/>
                <w:sz w:val="15"/>
                <w:szCs w:val="15"/>
                <w:color w:val="auto"/>
              </w:rPr>
              <w:t>March 31, 2025 and December 31, 2024, respectively</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$0.0001 par value: 1,500,000 and 1,500,000 Class A shares authorized, 447,683 and 470,824 shares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5"/>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issued and outstanding as of March 31, 2025 and December 31, 2024, respectively. 600,000 and 600,000 Class B shares</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authorized, 33,295 and 33,472 shares issued and outstanding as of March 31, 2025 and December 31, 2024,</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respectively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1,793,656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1,883,190</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w:t>
            </w:r>
          </w:p>
        </w:tc>
      </w:tr>
      <w:tr>
        <w:trPr>
          <w:trHeight w:val="20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deficit</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(806,168)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(797,908)</w:t>
            </w:r>
          </w:p>
        </w:tc>
      </w:tr>
      <w:tr>
        <w:trPr>
          <w:trHeight w:val="196"/>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987,260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1,085,018</w:t>
            </w:r>
          </w:p>
        </w:tc>
      </w:tr>
      <w:tr>
        <w:trPr>
          <w:trHeight w:val="197"/>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1,349,627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1,463,204</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8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2024</w:t>
            </w:r>
          </w:p>
        </w:tc>
      </w:tr>
      <w:tr>
        <w:trPr>
          <w:trHeight w:val="198"/>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139,073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117,968</w:t>
            </w:r>
          </w:p>
        </w:tc>
      </w:tr>
      <w:tr>
        <w:trPr>
          <w:trHeight w:val="20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Costs of revenue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40,394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33,807</w:t>
            </w:r>
          </w:p>
        </w:tc>
      </w:tr>
      <w:tr>
        <w:trPr>
          <w:trHeight w:val="197"/>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98,679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84,161</w:t>
            </w:r>
          </w:p>
        </w:tc>
      </w:tr>
      <w:tr>
        <w:trPr>
          <w:trHeight w:val="201"/>
        </w:trPr>
        <w:tc>
          <w:tcPr>
            <w:tcW w:w="81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 and benefits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86,050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94,990</w:t>
            </w:r>
          </w:p>
        </w:tc>
      </w:tr>
      <w:tr>
        <w:trPr>
          <w:trHeight w:val="201"/>
        </w:trPr>
        <w:tc>
          <w:tcPr>
            <w:tcW w:w="8100" w:type="dxa"/>
            <w:vAlign w:val="bottom"/>
          </w:tcPr>
          <w:p>
            <w:pPr>
              <w:ind w:left="140"/>
              <w:spacing w:after="0"/>
              <w:rPr>
                <w:sz w:val="20"/>
                <w:szCs w:val="20"/>
                <w:color w:val="auto"/>
              </w:rPr>
            </w:pPr>
            <w:r>
              <w:rPr>
                <w:rFonts w:ascii="Arial" w:cs="Arial" w:eastAsia="Arial" w:hAnsi="Arial"/>
                <w:sz w:val="15"/>
                <w:szCs w:val="15"/>
                <w:color w:val="auto"/>
              </w:rPr>
              <w:t>Technology</w:t>
            </w:r>
          </w:p>
        </w:tc>
        <w:tc>
          <w:tcPr>
            <w:tcW w:w="36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14,811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13,118</w:t>
            </w:r>
          </w:p>
        </w:tc>
      </w:tr>
      <w:tr>
        <w:trPr>
          <w:trHeight w:val="204"/>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Professional services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5,695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3,870</w:t>
            </w:r>
          </w:p>
        </w:tc>
      </w:tr>
      <w:tr>
        <w:trPr>
          <w:trHeight w:val="201"/>
        </w:trPr>
        <w:tc>
          <w:tcPr>
            <w:tcW w:w="8100" w:type="dxa"/>
            <w:vAlign w:val="bottom"/>
          </w:tcPr>
          <w:p>
            <w:pPr>
              <w:ind w:left="140"/>
              <w:spacing w:after="0"/>
              <w:rPr>
                <w:sz w:val="20"/>
                <w:szCs w:val="20"/>
                <w:color w:val="auto"/>
              </w:rPr>
            </w:pPr>
            <w:r>
              <w:rPr>
                <w:rFonts w:ascii="Arial" w:cs="Arial" w:eastAsia="Arial" w:hAnsi="Arial"/>
                <w:sz w:val="15"/>
                <w:szCs w:val="15"/>
                <w:color w:val="auto"/>
              </w:rPr>
              <w:t>Occupancy</w:t>
            </w:r>
          </w:p>
        </w:tc>
        <w:tc>
          <w:tcPr>
            <w:tcW w:w="36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1,094</w:t>
            </w:r>
          </w:p>
        </w:tc>
      </w:tr>
      <w:tr>
        <w:trPr>
          <w:trHeight w:val="204"/>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5,331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3,537</w:t>
            </w:r>
          </w:p>
        </w:tc>
      </w:tr>
      <w:tr>
        <w:trPr>
          <w:trHeight w:val="201"/>
        </w:trPr>
        <w:tc>
          <w:tcPr>
            <w:tcW w:w="8100" w:type="dxa"/>
            <w:vAlign w:val="bottom"/>
          </w:tcPr>
          <w:p>
            <w:pPr>
              <w:ind w:left="140"/>
              <w:spacing w:after="0"/>
              <w:rPr>
                <w:sz w:val="20"/>
                <w:szCs w:val="20"/>
                <w:color w:val="auto"/>
              </w:rPr>
            </w:pPr>
            <w:r>
              <w:rPr>
                <w:rFonts w:ascii="Arial" w:cs="Arial" w:eastAsia="Arial" w:hAnsi="Arial"/>
                <w:sz w:val="15"/>
                <w:szCs w:val="15"/>
                <w:color w:val="auto"/>
              </w:rPr>
              <w:t>Marketing and advertising</w:t>
            </w:r>
          </w:p>
        </w:tc>
        <w:tc>
          <w:tcPr>
            <w:tcW w:w="36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378</w:t>
            </w:r>
          </w:p>
        </w:tc>
      </w:tr>
      <w:tr>
        <w:trPr>
          <w:trHeight w:val="204"/>
        </w:trPr>
        <w:tc>
          <w:tcPr>
            <w:tcW w:w="8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operating expenses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3,944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3,905</w:t>
            </w:r>
          </w:p>
        </w:tc>
      </w:tr>
      <w:tr>
        <w:trPr>
          <w:trHeight w:val="201"/>
        </w:trPr>
        <w:tc>
          <w:tcPr>
            <w:tcW w:w="8100" w:type="dxa"/>
            <w:vAlign w:val="bottom"/>
          </w:tcPr>
          <w:p>
            <w:pPr>
              <w:ind w:left="140"/>
              <w:spacing w:after="0"/>
              <w:rPr>
                <w:sz w:val="20"/>
                <w:szCs w:val="20"/>
                <w:color w:val="auto"/>
              </w:rPr>
            </w:pPr>
            <w:r>
              <w:rPr>
                <w:rFonts w:ascii="Arial" w:cs="Arial" w:eastAsia="Arial" w:hAnsi="Arial"/>
                <w:sz w:val="15"/>
                <w:szCs w:val="15"/>
                <w:color w:val="auto"/>
              </w:rPr>
              <w:t>Executive chairman long-term performance award</w:t>
            </w:r>
          </w:p>
        </w:tc>
        <w:tc>
          <w:tcPr>
            <w:tcW w:w="3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13,121</w:t>
            </w:r>
          </w:p>
        </w:tc>
      </w:tr>
      <w:tr>
        <w:trPr>
          <w:trHeight w:val="197"/>
        </w:trPr>
        <w:tc>
          <w:tcPr>
            <w:tcW w:w="8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117,217</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134,013</w:t>
            </w:r>
          </w:p>
        </w:tc>
      </w:tr>
      <w:tr>
        <w:trPr>
          <w:trHeight w:val="195"/>
        </w:trPr>
        <w:tc>
          <w:tcPr>
            <w:tcW w:w="8100" w:type="dxa"/>
            <w:vAlign w:val="bottom"/>
          </w:tcPr>
          <w:p>
            <w:pPr>
              <w:ind w:left="20"/>
              <w:spacing w:after="0"/>
              <w:rPr>
                <w:sz w:val="20"/>
                <w:szCs w:val="20"/>
                <w:color w:val="auto"/>
              </w:rPr>
            </w:pPr>
            <w:r>
              <w:rPr>
                <w:rFonts w:ascii="Arial" w:cs="Arial" w:eastAsia="Arial" w:hAnsi="Arial"/>
                <w:sz w:val="15"/>
                <w:szCs w:val="15"/>
                <w:color w:val="auto"/>
              </w:rPr>
              <w:t>Loss from operations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(18,538)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(49,852)</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10,513</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13,926</w:t>
            </w:r>
          </w:p>
        </w:tc>
      </w:tr>
      <w:tr>
        <w:trPr>
          <w:trHeight w:val="195"/>
        </w:trPr>
        <w:tc>
          <w:tcPr>
            <w:tcW w:w="8100" w:type="dxa"/>
            <w:vAlign w:val="bottom"/>
          </w:tcPr>
          <w:p>
            <w:pPr>
              <w:ind w:left="20"/>
              <w:spacing w:after="0"/>
              <w:rPr>
                <w:sz w:val="20"/>
                <w:szCs w:val="20"/>
                <w:color w:val="auto"/>
              </w:rPr>
            </w:pPr>
            <w:r>
              <w:rPr>
                <w:rFonts w:ascii="Arial" w:cs="Arial" w:eastAsia="Arial" w:hAnsi="Arial"/>
                <w:sz w:val="15"/>
                <w:szCs w:val="15"/>
                <w:color w:val="auto"/>
              </w:rPr>
              <w:t>Loss before income tax expense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(35,926)</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tax expense</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235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134</w:t>
            </w:r>
          </w:p>
        </w:tc>
      </w:tr>
      <w:tr>
        <w:trPr>
          <w:trHeight w:val="195"/>
        </w:trPr>
        <w:tc>
          <w:tcPr>
            <w:tcW w:w="8100" w:type="dxa"/>
            <w:vAlign w:val="bottom"/>
          </w:tcPr>
          <w:p>
            <w:pPr>
              <w:ind w:left="20"/>
              <w:spacing w:after="0"/>
              <w:rPr>
                <w:sz w:val="20"/>
                <w:szCs w:val="20"/>
                <w:color w:val="auto"/>
              </w:rPr>
            </w:pPr>
            <w:r>
              <w:rPr>
                <w:rFonts w:ascii="Arial" w:cs="Arial" w:eastAsia="Arial" w:hAnsi="Arial"/>
                <w:sz w:val="15"/>
                <w:szCs w:val="15"/>
                <w:color w:val="auto"/>
              </w:rPr>
              <w:t>Net loss</w:t>
            </w: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(8,260)</w:t>
            </w:r>
          </w:p>
        </w:tc>
        <w:tc>
          <w:tcPr>
            <w:tcW w:w="80" w:type="dxa"/>
            <w:vAlign w:val="bottom"/>
          </w:tcPr>
          <w:p>
            <w:pPr>
              <w:spacing w:after="0"/>
              <w:rPr>
                <w:sz w:val="16"/>
                <w:szCs w:val="16"/>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(36,060)</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 net of taxes: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8100" w:type="dxa"/>
            <w:vAlign w:val="bottom"/>
          </w:tcPr>
          <w:p>
            <w:pPr>
              <w:ind w:left="220"/>
              <w:spacing w:after="0"/>
              <w:rPr>
                <w:sz w:val="20"/>
                <w:szCs w:val="20"/>
                <w:color w:val="auto"/>
              </w:rPr>
            </w:pPr>
            <w:r>
              <w:rPr>
                <w:rFonts w:ascii="Arial" w:cs="Arial" w:eastAsia="Arial" w:hAnsi="Arial"/>
                <w:sz w:val="15"/>
                <w:szCs w:val="15"/>
                <w:color w:val="auto"/>
              </w:rPr>
              <w:t>Change in foreign currency translation adjustment</w:t>
            </w:r>
          </w:p>
        </w:tc>
        <w:tc>
          <w:tcPr>
            <w:tcW w:w="36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126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(112)</w:t>
            </w:r>
          </w:p>
        </w:tc>
      </w:tr>
      <w:tr>
        <w:trPr>
          <w:trHeight w:val="204"/>
        </w:trPr>
        <w:tc>
          <w:tcPr>
            <w:tcW w:w="81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change in unrealized loss on short-term investments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(1,474)</w:t>
            </w:r>
          </w:p>
        </w:tc>
      </w:tr>
      <w:tr>
        <w:trPr>
          <w:trHeight w:val="19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other comprehensive income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38</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(1,586)</w:t>
            </w:r>
          </w:p>
        </w:tc>
      </w:tr>
      <w:tr>
        <w:trPr>
          <w:trHeight w:val="22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loss</w:t>
            </w:r>
          </w:p>
        </w:tc>
        <w:tc>
          <w:tcPr>
            <w:tcW w:w="3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(8,222)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(37,646)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 per share attributable to Class A and Class B common stockholders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8100" w:type="dxa"/>
            <w:vAlign w:val="bottom"/>
          </w:tcPr>
          <w:p>
            <w:pPr>
              <w:ind w:left="20"/>
              <w:spacing w:after="0"/>
              <w:rPr>
                <w:sz w:val="20"/>
                <w:szCs w:val="20"/>
                <w:color w:val="auto"/>
              </w:rPr>
            </w:pPr>
            <w:r>
              <w:rPr>
                <w:rFonts w:ascii="Arial" w:cs="Arial" w:eastAsia="Arial" w:hAnsi="Arial"/>
                <w:sz w:val="15"/>
                <w:szCs w:val="15"/>
                <w:color w:val="auto"/>
              </w:rPr>
              <w:t>Basic</w:t>
            </w: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(0.02)</w:t>
            </w:r>
          </w:p>
        </w:tc>
        <w:tc>
          <w:tcPr>
            <w:tcW w:w="80" w:type="dxa"/>
            <w:vAlign w:val="bottom"/>
          </w:tcPr>
          <w:p>
            <w:pPr>
              <w:spacing w:after="0"/>
              <w:rPr>
                <w:sz w:val="17"/>
                <w:szCs w:val="17"/>
                <w:color w:val="auto"/>
              </w:rPr>
            </w:pPr>
          </w:p>
        </w:tc>
        <w:tc>
          <w:tcPr>
            <w:tcW w:w="36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(0.07)</w:t>
            </w:r>
          </w:p>
        </w:tc>
      </w:tr>
      <w:tr>
        <w:trPr>
          <w:trHeight w:val="204"/>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r>
      <w:tr>
        <w:trPr>
          <w:trHeight w:val="149"/>
        </w:trPr>
        <w:tc>
          <w:tcPr>
            <w:tcW w:w="8100" w:type="dxa"/>
            <w:vAlign w:val="bottom"/>
          </w:tcPr>
          <w:p>
            <w:pPr>
              <w:ind w:left="20"/>
              <w:spacing w:after="0" w:line="149" w:lineRule="exact"/>
              <w:rPr>
                <w:sz w:val="20"/>
                <w:szCs w:val="20"/>
                <w:color w:val="auto"/>
              </w:rPr>
            </w:pPr>
            <w:r>
              <w:rPr>
                <w:rFonts w:ascii="Arial" w:cs="Arial" w:eastAsia="Arial" w:hAnsi="Arial"/>
                <w:sz w:val="15"/>
                <w:szCs w:val="15"/>
                <w:b w:val="1"/>
                <w:bCs w:val="1"/>
                <w:color w:val="auto"/>
              </w:rPr>
              <w:t>Weighted-average shares used in computing net loss per share attributable to Class A and Class B common</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501,222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517,987</w:t>
            </w:r>
          </w:p>
        </w:tc>
      </w:tr>
      <w:tr>
        <w:trPr>
          <w:trHeight w:val="200"/>
        </w:trPr>
        <w:tc>
          <w:tcPr>
            <w:tcW w:w="8100" w:type="dxa"/>
            <w:vAlign w:val="bottom"/>
          </w:tcPr>
          <w:p>
            <w:pPr>
              <w:ind w:left="20"/>
              <w:spacing w:after="0"/>
              <w:rPr>
                <w:sz w:val="20"/>
                <w:szCs w:val="20"/>
                <w:color w:val="auto"/>
              </w:rPr>
            </w:pPr>
            <w:r>
              <w:rPr>
                <w:rFonts w:ascii="Arial" w:cs="Arial" w:eastAsia="Arial" w:hAnsi="Arial"/>
                <w:sz w:val="15"/>
                <w:szCs w:val="15"/>
                <w:color w:val="auto"/>
              </w:rPr>
              <w:t>Diluted</w:t>
            </w:r>
          </w:p>
        </w:tc>
        <w:tc>
          <w:tcPr>
            <w:tcW w:w="36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501,222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517,987</w:t>
            </w: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4"/>
                <w:szCs w:val="4"/>
                <w:color w:val="auto"/>
              </w:rPr>
            </w:pPr>
          </w:p>
        </w:tc>
        <w:tc>
          <w:tcPr>
            <w:tcW w:w="1120" w:type="dxa"/>
            <w:vAlign w:val="bottom"/>
            <w:gridSpan w:val="2"/>
            <w:vMerge w:val="restart"/>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4"/>
                <w:szCs w:val="4"/>
                <w:color w:val="auto"/>
              </w:rPr>
            </w:pPr>
          </w:p>
        </w:tc>
        <w:tc>
          <w:tcPr>
            <w:tcW w:w="840" w:type="dxa"/>
            <w:vAlign w:val="bottom"/>
            <w:vMerge w:val="restart"/>
          </w:tcPr>
          <w:p>
            <w:pPr>
              <w:jc w:val="center"/>
              <w:ind w:right="148"/>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44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loss</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504,296</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1,883,190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(797,908)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1,085,018</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57"/>
        </w:trPr>
        <w:tc>
          <w:tcPr>
            <w:tcW w:w="44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28,437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28,437</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(112,314)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(112,316)</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Change in accumulated other comprehensive loss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0" w:type="dxa"/>
            <w:vAlign w:val="bottom"/>
          </w:tcPr>
          <w:p>
            <w:pPr>
              <w:spacing w:after="0"/>
              <w:rPr>
                <w:sz w:val="1"/>
                <w:szCs w:val="1"/>
                <w:color w:val="auto"/>
              </w:rPr>
            </w:pPr>
          </w:p>
        </w:tc>
      </w:tr>
      <w:tr>
        <w:trPr>
          <w:trHeight w:val="20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2025</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480,978</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1,793,656</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(806,168)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987,260</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480" w:type="dxa"/>
            <w:vAlign w:val="bottom"/>
          </w:tcPr>
          <w:p>
            <w:pPr>
              <w:spacing w:after="0"/>
              <w:rPr>
                <w:sz w:val="24"/>
                <w:szCs w:val="24"/>
                <w:color w:val="auto"/>
              </w:rPr>
            </w:pPr>
          </w:p>
        </w:tc>
        <w:tc>
          <w:tcPr>
            <w:tcW w:w="188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480" w:type="dxa"/>
            <w:vAlign w:val="bottom"/>
          </w:tcPr>
          <w:p>
            <w:pPr>
              <w:spacing w:after="0"/>
              <w:rPr>
                <w:sz w:val="9"/>
                <w:szCs w:val="9"/>
                <w:color w:val="auto"/>
              </w:rPr>
            </w:pPr>
          </w:p>
        </w:tc>
        <w:tc>
          <w:tcPr>
            <w:tcW w:w="188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vMerge w:val="restart"/>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
        </w:trPr>
        <w:tc>
          <w:tcPr>
            <w:tcW w:w="4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8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2023</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520,343</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2,067,776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(825,195)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1,243,395</w:t>
            </w:r>
          </w:p>
        </w:tc>
        <w:tc>
          <w:tcPr>
            <w:tcW w:w="0" w:type="dxa"/>
            <w:vAlign w:val="bottom"/>
          </w:tcPr>
          <w:p>
            <w:pPr>
              <w:spacing w:after="0"/>
              <w:rPr>
                <w:sz w:val="1"/>
                <w:szCs w:val="1"/>
                <w:color w:val="auto"/>
              </w:rPr>
            </w:pPr>
          </w:p>
        </w:tc>
      </w:tr>
      <w:tr>
        <w:trPr>
          <w:trHeight w:val="199"/>
        </w:trPr>
        <w:tc>
          <w:tcPr>
            <w:tcW w:w="4480" w:type="dxa"/>
            <w:vAlign w:val="bottom"/>
          </w:tcPr>
          <w:p>
            <w:pPr>
              <w:spacing w:after="0"/>
              <w:rPr>
                <w:sz w:val="20"/>
                <w:szCs w:val="20"/>
                <w:color w:val="auto"/>
              </w:rPr>
            </w:pPr>
            <w:r>
              <w:rPr>
                <w:rFonts w:ascii="Arial" w:cs="Arial" w:eastAsia="Arial" w:hAnsi="Arial"/>
                <w:sz w:val="14"/>
                <w:szCs w:val="14"/>
                <w:color w:val="auto"/>
              </w:rPr>
              <w:t>Issuance of common stock upon exercise of options</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53"/>
        </w:trPr>
        <w:tc>
          <w:tcPr>
            <w:tcW w:w="44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Issuance of common stock upon net settlement of restricted stock</w:t>
            </w: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rPr>
                <w:sz w:val="20"/>
                <w:szCs w:val="20"/>
                <w:color w:val="auto"/>
              </w:rPr>
            </w:pPr>
            <w:r>
              <w:rPr>
                <w:rFonts w:ascii="Arial" w:cs="Arial" w:eastAsia="Arial" w:hAnsi="Arial"/>
                <w:sz w:val="14"/>
                <w:szCs w:val="14"/>
                <w:color w:val="auto"/>
              </w:rPr>
              <w:t>Vesting of common stock warrants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206"/>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33,393</w:t>
            </w:r>
          </w:p>
        </w:tc>
        <w:tc>
          <w:tcPr>
            <w:tcW w:w="0" w:type="dxa"/>
            <w:vAlign w:val="bottom"/>
          </w:tcPr>
          <w:p>
            <w:pPr>
              <w:spacing w:after="0"/>
              <w:rPr>
                <w:sz w:val="1"/>
                <w:szCs w:val="1"/>
                <w:color w:val="auto"/>
              </w:rPr>
            </w:pPr>
          </w:p>
        </w:tc>
      </w:tr>
      <w:tr>
        <w:trPr>
          <w:trHeight w:val="199"/>
        </w:trPr>
        <w:tc>
          <w:tcPr>
            <w:tcW w:w="4480" w:type="dxa"/>
            <w:vAlign w:val="bottom"/>
          </w:tcPr>
          <w:p>
            <w:pPr>
              <w:spacing w:after="0"/>
              <w:rPr>
                <w:sz w:val="20"/>
                <w:szCs w:val="20"/>
                <w:color w:val="auto"/>
              </w:rPr>
            </w:pPr>
            <w:r>
              <w:rPr>
                <w:rFonts w:ascii="Arial" w:cs="Arial" w:eastAsia="Arial" w:hAnsi="Arial"/>
                <w:sz w:val="14"/>
                <w:szCs w:val="14"/>
                <w:color w:val="auto"/>
              </w:rPr>
              <w:t>Executive chairman long-term performance award</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13,121</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Repurchase and retirement of common stock, including excise tax</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(32,830)</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Arial" w:cs="Arial" w:eastAsia="Arial" w:hAnsi="Arial"/>
                <w:sz w:val="14"/>
                <w:szCs w:val="14"/>
                <w:color w:val="auto"/>
              </w:rPr>
              <w:t>Change in accumulated other comprehensive income (loss)</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(36,060)</w:t>
            </w:r>
          </w:p>
        </w:tc>
        <w:tc>
          <w:tcPr>
            <w:tcW w:w="0" w:type="dxa"/>
            <w:vAlign w:val="bottom"/>
          </w:tcPr>
          <w:p>
            <w:pPr>
              <w:spacing w:after="0"/>
              <w:rPr>
                <w:sz w:val="1"/>
                <w:szCs w:val="1"/>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4"/>
                <w:szCs w:val="14"/>
                <w:b w:val="1"/>
                <w:bCs w:val="1"/>
                <w:color w:val="auto"/>
              </w:rPr>
              <w:t>Balance as of March 31, 2024</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518,009</w:t>
            </w:r>
          </w:p>
        </w:tc>
        <w:tc>
          <w:tcPr>
            <w:tcW w:w="8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2,072,692</w:t>
            </w:r>
          </w:p>
        </w:tc>
        <w:tc>
          <w:tcPr>
            <w:tcW w:w="8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(861,255)</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1,210,665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8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2024</w:t>
            </w: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Net loss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(8,260)</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(36,060)</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3,537</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Share-based compensation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31,313</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Executive chairman long-term performance award</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13,121</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 operating leases expense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674</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Accretion of discount on short-term investments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(978)</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receivable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(4,271)</w:t>
            </w:r>
          </w:p>
        </w:tc>
      </w:tr>
      <w:tr>
        <w:trPr>
          <w:trHeight w:val="201"/>
        </w:trPr>
        <w:tc>
          <w:tcPr>
            <w:tcW w:w="8180" w:type="dxa"/>
            <w:vAlign w:val="bottom"/>
          </w:tcPr>
          <w:p>
            <w:pPr>
              <w:ind w:left="240"/>
              <w:spacing w:after="0"/>
              <w:rPr>
                <w:sz w:val="20"/>
                <w:szCs w:val="20"/>
                <w:color w:val="auto"/>
              </w:rPr>
            </w:pPr>
            <w:r>
              <w:rPr>
                <w:rFonts w:ascii="Arial" w:cs="Arial" w:eastAsia="Arial" w:hAnsi="Arial"/>
                <w:sz w:val="15"/>
                <w:szCs w:val="15"/>
                <w:color w:val="auto"/>
              </w:rPr>
              <w:t>Settlements receivable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(6,589)</w:t>
            </w: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Network incentives receivable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r>
      <w:tr>
        <w:trPr>
          <w:trHeight w:val="201"/>
        </w:trPr>
        <w:tc>
          <w:tcPr>
            <w:tcW w:w="8180" w:type="dxa"/>
            <w:vAlign w:val="bottom"/>
          </w:tcPr>
          <w:p>
            <w:pPr>
              <w:ind w:left="240"/>
              <w:spacing w:after="0"/>
              <w:rPr>
                <w:sz w:val="20"/>
                <w:szCs w:val="20"/>
                <w:color w:val="auto"/>
              </w:rPr>
            </w:pPr>
            <w:r>
              <w:rPr>
                <w:rFonts w:ascii="Arial" w:cs="Arial" w:eastAsia="Arial" w:hAnsi="Arial"/>
                <w:sz w:val="15"/>
                <w:szCs w:val="15"/>
                <w:color w:val="auto"/>
              </w:rPr>
              <w:t>Prepaid expenses and other assets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538</w:t>
            </w: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Accounts payable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201"/>
        </w:trPr>
        <w:tc>
          <w:tcPr>
            <w:tcW w:w="8180" w:type="dxa"/>
            <w:vAlign w:val="bottom"/>
          </w:tcPr>
          <w:p>
            <w:pPr>
              <w:ind w:left="240"/>
              <w:spacing w:after="0"/>
              <w:rPr>
                <w:sz w:val="20"/>
                <w:szCs w:val="20"/>
                <w:color w:val="auto"/>
              </w:rPr>
            </w:pPr>
            <w:r>
              <w:rPr>
                <w:rFonts w:ascii="Arial" w:cs="Arial" w:eastAsia="Arial" w:hAnsi="Arial"/>
                <w:sz w:val="15"/>
                <w:szCs w:val="15"/>
                <w:color w:val="auto"/>
              </w:rPr>
              <w:t>Revenue share payable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16,219</w:t>
            </w:r>
          </w:p>
        </w:tc>
      </w:tr>
      <w:tr>
        <w:trPr>
          <w:trHeight w:val="204"/>
        </w:trPr>
        <w:tc>
          <w:tcPr>
            <w:tcW w:w="81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Accrued expenses and other liabilities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(16,020)</w:t>
            </w:r>
          </w:p>
        </w:tc>
      </w:tr>
      <w:tr>
        <w:trPr>
          <w:trHeight w:val="201"/>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Operating lease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w:t>
            </w: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w:t>
            </w:r>
          </w:p>
        </w:tc>
      </w:tr>
      <w:tr>
        <w:trPr>
          <w:trHeight w:val="183"/>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and equipment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(1,191)</w:t>
            </w: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Capitalization of internal-use software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(6,059)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(5,307)</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Maturities of short-term investments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22,186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w:t>
            </w:r>
          </w:p>
        </w:tc>
      </w:tr>
      <w:tr>
        <w:trPr>
          <w:trHeight w:val="19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by investing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33,502</w:t>
            </w: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48"/>
        </w:trPr>
        <w:tc>
          <w:tcPr>
            <w:tcW w:w="8180" w:type="dxa"/>
            <w:vAlign w:val="bottom"/>
          </w:tcPr>
          <w:p>
            <w:pPr>
              <w:ind w:left="20"/>
              <w:spacing w:after="0" w:line="149" w:lineRule="exact"/>
              <w:rPr>
                <w:sz w:val="20"/>
                <w:szCs w:val="20"/>
                <w:color w:val="auto"/>
              </w:rPr>
            </w:pPr>
            <w:r>
              <w:rPr>
                <w:rFonts w:ascii="Arial" w:cs="Arial" w:eastAsia="Arial" w:hAnsi="Arial"/>
                <w:sz w:val="15"/>
                <w:szCs w:val="15"/>
                <w:color w:val="auto"/>
              </w:rPr>
              <w:t>Proceeds from exercise of stock options, including early exercised stock options, net of repurchase of early exercised</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color w:val="auto"/>
              </w:rPr>
              <w:t>unvested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Taxes paid related to net share settlement of restricted stock units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(10,917)</w:t>
            </w:r>
          </w:p>
        </w:tc>
      </w:tr>
      <w:tr>
        <w:trPr>
          <w:trHeight w:val="20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Repurchase of common stock</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(33,675)</w:t>
            </w: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(116,967)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(44,543)</w:t>
            </w:r>
          </w:p>
        </w:tc>
      </w:tr>
      <w:tr>
        <w:trPr>
          <w:trHeight w:val="195"/>
        </w:trPr>
        <w:tc>
          <w:tcPr>
            <w:tcW w:w="8180" w:type="dxa"/>
            <w:vAlign w:val="bottom"/>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(92,119)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(10,615)</w:t>
            </w: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931,516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989,472</w:t>
            </w:r>
          </w:p>
        </w:tc>
      </w:tr>
      <w:tr>
        <w:trPr>
          <w:trHeight w:val="197"/>
        </w:trPr>
        <w:tc>
          <w:tcPr>
            <w:tcW w:w="818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End of period</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839,397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978,857</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3"/>
                <w:szCs w:val="13"/>
                <w:b w:val="1"/>
                <w:bCs w:val="1"/>
                <w:color w:val="auto"/>
              </w:rPr>
              <w:t>Three Months Ended March 31,</w:t>
            </w:r>
          </w:p>
        </w:tc>
      </w:tr>
      <w:tr>
        <w:trPr>
          <w:trHeight w:val="171"/>
        </w:trPr>
        <w:tc>
          <w:tcPr>
            <w:tcW w:w="8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2024</w:t>
            </w:r>
          </w:p>
        </w:tc>
      </w:tr>
      <w:tr>
        <w:trPr>
          <w:trHeight w:val="18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cash, cash equivalents, and restricted cash</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1"/>
        </w:trPr>
        <w:tc>
          <w:tcPr>
            <w:tcW w:w="81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830,897</w:t>
            </w:r>
          </w:p>
        </w:tc>
        <w:tc>
          <w:tcPr>
            <w:tcW w:w="10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970,357</w:t>
            </w: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8,500</w:t>
            </w:r>
          </w:p>
        </w:tc>
      </w:tr>
      <w:tr>
        <w:trPr>
          <w:trHeight w:val="169"/>
        </w:trPr>
        <w:tc>
          <w:tcPr>
            <w:tcW w:w="8180" w:type="dxa"/>
            <w:vAlign w:val="bottom"/>
          </w:tcPr>
          <w:p>
            <w:pPr>
              <w:ind w:left="20"/>
              <w:spacing w:after="0" w:line="169" w:lineRule="exact"/>
              <w:rPr>
                <w:sz w:val="20"/>
                <w:szCs w:val="20"/>
                <w:color w:val="auto"/>
              </w:rPr>
            </w:pPr>
            <w:r>
              <w:rPr>
                <w:rFonts w:ascii="Arial" w:cs="Arial" w:eastAsia="Arial" w:hAnsi="Arial"/>
                <w:sz w:val="15"/>
                <w:szCs w:val="15"/>
                <w:color w:val="auto"/>
              </w:rPr>
              <w:t>Total cash, cash equivalents, and restricted cash</w:t>
            </w:r>
          </w:p>
        </w:tc>
        <w:tc>
          <w:tcPr>
            <w:tcW w:w="34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839,397</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978,857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b w:val="1"/>
                <w:bCs w:val="1"/>
                <w:color w:val="auto"/>
              </w:rPr>
              <w:t>Supplemental disclosures of non-cash investing and financing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r>
      <w:tr>
        <w:trPr>
          <w:trHeight w:val="196"/>
        </w:trPr>
        <w:tc>
          <w:tcPr>
            <w:tcW w:w="8180" w:type="dxa"/>
            <w:vAlign w:val="bottom"/>
          </w:tcPr>
          <w:p>
            <w:pPr>
              <w:ind w:left="20"/>
              <w:spacing w:after="0"/>
              <w:rPr>
                <w:sz w:val="20"/>
                <w:szCs w:val="20"/>
                <w:color w:val="auto"/>
              </w:rPr>
            </w:pPr>
            <w:r>
              <w:rPr>
                <w:rFonts w:ascii="Arial" w:cs="Arial" w:eastAsia="Arial" w:hAnsi="Arial"/>
                <w:sz w:val="15"/>
                <w:szCs w:val="15"/>
                <w:color w:val="auto"/>
              </w:rPr>
              <w:t>Purchase of property and equipment accrued and not yet paid</w:t>
            </w: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Share-based compensation capitalized to internal-use software</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2,080</w:t>
            </w:r>
          </w:p>
        </w:tc>
      </w:tr>
      <w:tr>
        <w:trPr>
          <w:trHeight w:val="177"/>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Repurchase of common stock, including excise tax, accrued and not yet paid</w:t>
            </w: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1,006</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Amounts in Thousands, Except Per Share Amounts, Ratios, or as Noted)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and Basis of Presentation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earns revenue from processing card transactions for its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2024 has been derived from the Company’s audited consolidated financial statements, which are included in the Company’s Annual Report on Form 10-K for the fiscal year ended December 31, 2024, which was filed with the SEC on February 26, 2025. The accompanying Condensed Consolidated Financial Statements should be read in conjunction with the Company’s consolidated financial statements and notes thereto included in the Annual Report on Form 10-K.</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loss, and cash flows for the interim periods presented. The interim results for the three months ended March 31, 2025 are not necessarily indicative of the results that may be expected for the year ending December 31, 2025, or for any other future annual or interim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Prior period amounts related to our Executive Chairman Long-Term Performance Award have been reclassified to conform to the current period presentation.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reserve for contract contingencies and processing errors and valuation of income taxes. Actual results could differ materially from these estimates.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Risks and Uncertainties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net losses each quarter since its inception with the exception of the quarter ended June 30, 2024. The Company had an accumulated deficit of $806.2 million as of March 31, 2025. The Company expects to incur net losses from operations for the foreseeable future as it incurs costs and expenses related to creating new products for customers, acquiring new customers, developing its brand, expanding into new geographies and continued development of the existing platform infrastructure. The Company believes that its cash and cash equivalents of $830.9 million and short-term investments of $157.5 million as of March 31, 2025 are sufficient to fund its operations through at least the next twelve months from the issuance of these financial statements.</w:t>
      </w:r>
    </w:p>
    <w:p>
      <w:pPr>
        <w:spacing w:after="0" w:line="34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significant accounting policies from our Annual Report on Form 10-K for the fiscal year ended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2023, the </w:t>
      </w:r>
      <w:r>
        <w:rPr>
          <w:rFonts w:ascii="Arial" w:cs="Arial" w:eastAsia="Arial" w:hAnsi="Arial"/>
          <w:sz w:val="18"/>
          <w:szCs w:val="18"/>
          <w:color w:val="231F20"/>
        </w:rPr>
        <w:t>Financial Accounting Standards Board (“FASB”)</w:t>
      </w:r>
      <w:r>
        <w:rPr>
          <w:rFonts w:ascii="Arial" w:cs="Arial" w:eastAsia="Arial" w:hAnsi="Arial"/>
          <w:sz w:val="18"/>
          <w:szCs w:val="18"/>
          <w:color w:val="auto"/>
        </w:rPr>
        <w:t xml:space="preserve"> issued ASU 2023-09, “Income Taxes (Topic 740): Improvements to Income Tax Disclosures”,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ASU 2023-09 should be applied on a prospective basis, but retrospective application is permitted. The Company is evaluating the effect of adopting the new disclosure requirements.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Accounting Standards Update No. 2024-03, “Income Statement—Reporting Comprehensive Income— Expense Disaggregation Disclosures” (“ASU 2024-03”). ASU 2024-03 is intended to improve disclosures about a public business entity's expenses and provide more detailed information to investors about the types of expenses in commonly presented expense captions. The amendments in this ASU are effective for the Company in fiscal 2027 on a retrospective basis, with early adoption permitted. The Company is currently evaluating the potential impact of this guidance on its disclosures.</w:t>
      </w:r>
    </w:p>
    <w:p>
      <w:pPr>
        <w:spacing w:after="0" w:line="34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6"/>
          </w:tcPr>
          <w:p>
            <w:pPr>
              <w:ind w:left="24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82"/>
        </w:trPr>
        <w:tc>
          <w:tcPr>
            <w:tcW w:w="400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services revenue, net</w:t>
            </w:r>
          </w:p>
        </w:tc>
        <w:tc>
          <w:tcPr>
            <w:tcW w:w="39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113,935</w:t>
            </w:r>
          </w:p>
        </w:tc>
        <w:tc>
          <w:tcPr>
            <w:tcW w:w="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services revenue</w:t>
            </w:r>
          </w:p>
        </w:tc>
        <w:tc>
          <w:tcPr>
            <w:tcW w:w="3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net revenue</w:t>
            </w:r>
          </w:p>
        </w:tc>
        <w:tc>
          <w:tcPr>
            <w:tcW w:w="3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Arial" w:cs="Arial" w:eastAsia="Arial" w:hAnsi="Arial"/>
                <w:sz w:val="18"/>
                <w:szCs w:val="18"/>
                <w:color w:val="auto"/>
              </w:rPr>
              <w:t>11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0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deferred 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Contract balance</w:t>
            </w:r>
          </w:p>
        </w:tc>
        <w:tc>
          <w:tcPr>
            <w:tcW w:w="470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Balance sheet line reference</w:t>
            </w: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5"/>
        </w:trPr>
        <w:tc>
          <w:tcPr>
            <w:tcW w:w="3440" w:type="dxa"/>
            <w:vAlign w:val="bottom"/>
            <w:gridSpan w:val="2"/>
            <w:vMerge w:val="continue"/>
          </w:tcPr>
          <w:p>
            <w:pPr>
              <w:spacing w:after="0"/>
              <w:rPr>
                <w:sz w:val="10"/>
                <w:szCs w:val="10"/>
                <w:color w:val="auto"/>
              </w:rPr>
            </w:pPr>
          </w:p>
        </w:tc>
        <w:tc>
          <w:tcPr>
            <w:tcW w:w="47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70"/>
        </w:trPr>
        <w:tc>
          <w:tcPr>
            <w:tcW w:w="3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100" w:type="dxa"/>
            <w:vAlign w:val="bottom"/>
            <w:shd w:val="clear" w:color="auto" w:fill="CCEEFF"/>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Contract assets - non-current</w:t>
            </w:r>
          </w:p>
        </w:tc>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contract assets</w:t>
            </w:r>
          </w:p>
        </w:tc>
        <w:tc>
          <w:tcPr>
            <w:tcW w:w="4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 revenue - current</w:t>
            </w:r>
          </w:p>
        </w:tc>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40" w:type="dxa"/>
            <w:vAlign w:val="bottom"/>
            <w:gridSpan w:val="2"/>
            <w:vMerge w:val="continue"/>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10,457</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 non-current</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23"/>
        </w:trPr>
        <w:tc>
          <w:tcPr>
            <w:tcW w:w="3440" w:type="dxa"/>
            <w:vAlign w:val="bottom"/>
            <w:gridSpan w:val="2"/>
          </w:tcPr>
          <w:p>
            <w:pPr>
              <w:ind w:left="460"/>
              <w:spacing w:after="0"/>
              <w:rPr>
                <w:sz w:val="20"/>
                <w:szCs w:val="20"/>
                <w:color w:val="auto"/>
              </w:rPr>
            </w:pPr>
            <w:r>
              <w:rPr>
                <w:rFonts w:ascii="Arial" w:cs="Arial" w:eastAsia="Arial" w:hAnsi="Arial"/>
                <w:sz w:val="18"/>
                <w:szCs w:val="18"/>
                <w:color w:val="auto"/>
              </w:rPr>
              <w:t>Total deferred revenue</w:t>
            </w: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revenue recognized during the three months ended March 31, 2025 and 2024 that was included in the deferred revenue balances at the beginning of the respective periods was $4.6 million and $2.6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performance obligations associated with commitments in customer contracts for future stand-ready obligations to process transactions throughout the contractual term. As of March 31, 2025, the aggregate amount of the transaction price allocated to our remaining performance obligations was $47.5 million. The Company expects to recognize approximately 63% within two years and the remaining 37% over the next three to five years.</w:t>
      </w:r>
    </w:p>
    <w:p>
      <w:pPr>
        <w:spacing w:after="0" w:line="338" w:lineRule="exact"/>
        <w:rPr>
          <w:sz w:val="20"/>
          <w:szCs w:val="20"/>
          <w:color w:val="auto"/>
        </w:rPr>
      </w:pPr>
    </w:p>
    <w:p>
      <w:pPr>
        <w:ind w:right="8840" w:firstLine="8"/>
        <w:spacing w:after="0" w:line="375" w:lineRule="auto"/>
        <w:tabs>
          <w:tab w:leader="none" w:pos="35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i w:val="1"/>
          <w:iCs w:val="1"/>
          <w:color w:val="auto"/>
        </w:rPr>
        <w:t>TransactPay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2024, the Company entered into an agreement with Neptune International Ltd, an exempted company limited by shares incorporated under the laws of Bermuda, to purchase its TransactPay business for approximately €45.0 million in cash, and an additional amount up to €5.0 million for contingent consideration tied to performance-based goals. TransactPay provides BIN Sponsorship, E-Money Licensing, and Virtual Account services in the UK and Europe. The transaction is expected to close by the end of the third quarter of 2025 and is subject to the regulatory transfer of the E-Money Institution license and other customary closing conditions.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resulting from the Company’s business combination consisted of the following as of the dates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2024</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8"/>
              </w:rPr>
              <w:t>41,000</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rPr>
              <w:t>(12,690)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8"/>
              </w:rPr>
              <w:t>(11,226)</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457"/>
              <w:spacing w:after="0"/>
              <w:rPr>
                <w:sz w:val="20"/>
                <w:szCs w:val="20"/>
                <w:color w:val="auto"/>
              </w:rPr>
            </w:pPr>
            <w:r>
              <w:rPr>
                <w:rFonts w:ascii="Arial" w:cs="Arial" w:eastAsia="Arial" w:hAnsi="Arial"/>
                <w:sz w:val="18"/>
                <w:szCs w:val="18"/>
                <w:color w:val="auto"/>
              </w:rPr>
              <w:t>28,310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98"/>
              </w:rPr>
              <w:t>29,774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amortization period for developed technology intangible assets is 7 years. Amortization expense for intangible assets was $1.5 million and $1.5 million for the three months ended March 31, 2025 and 2024,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amortization expense for intangible assets was as follows as of March 31,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2028</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7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r>
      <w:tr>
        <w:trPr>
          <w:trHeight w:val="223"/>
        </w:trPr>
        <w:tc>
          <w:tcPr>
            <w:tcW w:w="9740" w:type="dxa"/>
            <w:vAlign w:val="bottom"/>
          </w:tcPr>
          <w:p>
            <w:pPr>
              <w:ind w:left="240"/>
              <w:spacing w:after="0"/>
              <w:rPr>
                <w:sz w:val="20"/>
                <w:szCs w:val="20"/>
                <w:color w:val="auto"/>
              </w:rPr>
            </w:pPr>
            <w:r>
              <w:rPr>
                <w:rFonts w:ascii="Arial" w:cs="Arial" w:eastAsia="Arial" w:hAnsi="Arial"/>
                <w:sz w:val="18"/>
                <w:szCs w:val="18"/>
                <w:color w:val="auto"/>
              </w:rPr>
              <w:t>Total expected future amortization expense for intangible assets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28,310</w:t>
            </w:r>
          </w:p>
        </w:tc>
      </w:tr>
      <w:tr>
        <w:trPr>
          <w:trHeight w:val="21"/>
        </w:trPr>
        <w:tc>
          <w:tcPr>
            <w:tcW w:w="9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short-term investments are accounted for as securities available-for-sale and are classified within Current assets in the Condensed Consolidated Balance Sheets as the Company may sell these securities at any time for use in its operations, even prior to maturity.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 and estimated fair value of the Company's short-term investments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March 31, 2025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147,099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147,428</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157,540</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3"/>
        </w:trPr>
        <w:tc>
          <w:tcPr>
            <w:tcW w:w="4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December 31, 2024</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w:t>
            </w:r>
          </w:p>
        </w:tc>
        <w:tc>
          <w:tcPr>
            <w:tcW w:w="14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Unrealized (Loss)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168,504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168,900</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179,409</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did not have any short-term investments in unrealized loss positions as of March 31, 2025 and December 31, 2024. Generally, the Company does not intend to sell any short-term investments that have unrealized losses, nor anticipates that it is more likely than not that the Company will be required to sell such securities before any anticipated recovery of the entire amortized cost basis.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realized gains or losses from short-term investments that were reclassified out of accumulated other comprehensive loss for the three months ended March 31, 2025 and 2024, respectively. The Company determined there were no material credit or non-credit related impairments as of March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stated maturities of the Company’s short-term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2025</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2024</w:t>
            </w:r>
          </w:p>
        </w:tc>
        <w:tc>
          <w:tcPr>
            <w:tcW w:w="800" w:type="dxa"/>
            <w:vAlign w:val="bottom"/>
            <w:tcBorders>
              <w:bottom w:val="single" w:sz="8" w:color="auto"/>
            </w:tcBorders>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 Value</w:t>
            </w: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115,227</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113,015</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four years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41,932</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66,394</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179,409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March 31, 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 Fair Value</w:t>
            </w:r>
          </w:p>
        </w:tc>
      </w:tr>
      <w:tr>
        <w:trPr>
          <w:trHeight w:val="211"/>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377,756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377,756</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225,889</w:t>
            </w: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67,848</w:t>
            </w: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18,821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147,428</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751,073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98,219</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849,292</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92"/>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6"/>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 Fair Value</w:t>
            </w: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458,195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458,195</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214,189</w:t>
            </w: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8,028</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53,238</w:t>
            </w: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Certificate of deposit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25,779</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168,900</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10,509</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841,284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97,554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938,838</w:t>
            </w:r>
          </w:p>
        </w:tc>
      </w:tr>
      <w:tr>
        <w:trPr>
          <w:trHeight w:val="21"/>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902"/>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1"/>
        </w:trPr>
        <w:tc>
          <w:tcPr>
            <w:tcW w:w="5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classifies money market funds, U.S. treasury bills, commercial paper, certificates of deposit, U.S. treasury securities, asset-backed securities, and corporate debt securities within Level 1 or Level 2 of the fair value hierarchy because the Company values these investments using quoted market prices or alternative pricing sources and models utilizing market observable inputs.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transfers of financial instruments between the fair value hierarchy levels during the three months ended March 31, 2025 and the year ended December 31, 2024.</w:t>
      </w:r>
    </w:p>
    <w:p>
      <w:pPr>
        <w:spacing w:after="0" w:line="3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Certain Balance Sheet Components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9,415</w:t>
            </w: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Internally developed and purchased software</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47,300</w:t>
            </w:r>
          </w:p>
        </w:tc>
      </w:tr>
      <w:tr>
        <w:trPr>
          <w:trHeight w:val="223"/>
        </w:trPr>
        <w:tc>
          <w:tcPr>
            <w:tcW w:w="8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67,350</w:t>
            </w:r>
          </w:p>
        </w:tc>
      </w:tr>
      <w:tr>
        <w:trPr>
          <w:trHeight w:val="27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(29,827)</w:t>
            </w:r>
          </w:p>
        </w:tc>
      </w:tr>
      <w:tr>
        <w:trPr>
          <w:trHeight w:val="24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Depreciation and amortization expense related to property and equipment was $3.9 million and $2.1 million for the three months ended March 31, 2025 and 2024,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capitalized $8.6 million and $7.5 million as internal-use software development costs during the three months ended March 31, 2025, and 2024,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costs of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Due to issuing banks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 liabilities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Reserve for contract contingencies and processing errors</w:t>
            </w: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146,008</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8020" w:firstLine="8"/>
        <w:spacing w:after="0" w:line="375" w:lineRule="auto"/>
        <w:tabs>
          <w:tab w:leader="none" w:pos="35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Letters of Credit</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connection with the Oakland lease, the Company is required to provide the landlord a letter of credit in the amount of $1.5 million. The Company has secured this letter of credit by depositing $1.5 million with</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the issuing financial institution, which deposit is classified as Restricted cash in the Condensed Consolidated Balance Sheets.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March 31, 2025 and December 31, 2024, there were no legal contingency matters, either individually or in aggregate, that would have a material adverse effect on the Company’s financial position, results of operations, or cash flows. Given the unpredictable nature of legal proceedings, the Company bases its assessment on the information available at the time the financials are available to be issued. As additional information becomes available, the Company reassesses the probability of the loss contingency and the potential liability, and may revise the estimate.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9, 2024, a putative securities class action lawsuit, captioned </w:t>
      </w:r>
      <w:r>
        <w:rPr>
          <w:rFonts w:ascii="Arial" w:cs="Arial" w:eastAsia="Arial" w:hAnsi="Arial"/>
          <w:sz w:val="18"/>
          <w:szCs w:val="18"/>
          <w:i w:val="1"/>
          <w:iCs w:val="1"/>
          <w:color w:val="auto"/>
        </w:rPr>
        <w:t>Wai v. Marqeta, Inc., et al.</w:t>
      </w:r>
      <w:r>
        <w:rPr>
          <w:rFonts w:ascii="Arial" w:cs="Arial" w:eastAsia="Arial" w:hAnsi="Arial"/>
          <w:sz w:val="18"/>
          <w:szCs w:val="18"/>
          <w:color w:val="auto"/>
        </w:rPr>
        <w:t>, Case No. 24-cv-08874 (N.D. Cal.), was filed in federal court in the Northern District of California (“Court”) against the Company, its former Chief Executive Officer, and its Chief Financial Officer (“Defendants”) alleging violations of federal securities laws. The lawsuit asserts that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10, 2024, a second putative securities class action lawsuit, captioned </w:t>
      </w:r>
      <w:r>
        <w:rPr>
          <w:rFonts w:ascii="Arial" w:cs="Arial" w:eastAsia="Arial" w:hAnsi="Arial"/>
          <w:sz w:val="18"/>
          <w:szCs w:val="18"/>
          <w:i w:val="1"/>
          <w:iCs w:val="1"/>
          <w:color w:val="auto"/>
        </w:rPr>
        <w:t>Ford v. Marqeta, Inc.</w:t>
      </w:r>
      <w:r>
        <w:rPr>
          <w:rFonts w:ascii="Arial" w:cs="Arial" w:eastAsia="Arial" w:hAnsi="Arial"/>
          <w:sz w:val="18"/>
          <w:szCs w:val="18"/>
          <w:color w:val="auto"/>
        </w:rPr>
        <w:t xml:space="preserve">, et al., Case No. 24-cv-08892 (N.D. Cal.), was filed in the same Court against the same Defendants alleging violations of the same federal securities laws. The second lawsuit asserts similar theories of liability as the first lawsuit. Both lawsuits (collectively, the “Securities Actions”) seek to recover damages on behalf of shareholders who acquired shares of the Company’s common stock during their respective putative class periods. The Securities Actions have been consolidated into one consolidated securities litigation captioned </w:t>
      </w:r>
      <w:r>
        <w:rPr>
          <w:rFonts w:ascii="Arial" w:cs="Arial" w:eastAsia="Arial" w:hAnsi="Arial"/>
          <w:sz w:val="18"/>
          <w:szCs w:val="18"/>
          <w:i w:val="1"/>
          <w:iCs w:val="1"/>
          <w:color w:val="auto"/>
        </w:rPr>
        <w:t>In re Marqeta, Inc. Securities Litigation</w:t>
      </w:r>
      <w:r>
        <w:rPr>
          <w:rFonts w:ascii="Arial" w:cs="Arial" w:eastAsia="Arial" w:hAnsi="Arial"/>
          <w:sz w:val="18"/>
          <w:szCs w:val="18"/>
          <w:color w:val="auto"/>
        </w:rPr>
        <w:t>,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intend to file a motion to dismiss the consolidated amended complaint by May 15, 2025.</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Given the inherent uncertainty of litigation, the Company cannot reasonably estimate the likelihood of an unfavorable outcome or the amount or range of any potential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of Payment Transactions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losses of this nature during the three months ended March 31, 2025 and 2024,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an Issuing Bank for losses such Issuing Bank may incur for non-compliance with applicable law and regulation, if those losses resulted from the Company’s failure to perform under its program agreement with the Issuing Bank.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Condensed Consolidated Financial Statements.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the levels specified.</w:t>
      </w:r>
    </w:p>
    <w:p>
      <w:pPr>
        <w:spacing w:after="0" w:line="3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following table presents the share-based compensation expense by award type recognized within the following line items in the Condensed Consolidated Statement of Operations and Comprehensive Loss and Condensed Consolidated Balance Sheet in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3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shd w:val="clear" w:color="auto" w:fill="CCEEFF"/>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19"/>
                <w:szCs w:val="19"/>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recorded within Compensation and benefits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31,313</w:t>
            </w:r>
          </w:p>
        </w:tc>
        <w:tc>
          <w:tcPr>
            <w:tcW w:w="10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Executive chairman long-term performance award</w:t>
            </w:r>
          </w:p>
        </w:tc>
        <w:tc>
          <w:tcPr>
            <w:tcW w:w="1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(capitalized internal-use software)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9"/>
                <w:szCs w:val="19"/>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share-based compensation expense (benefit)</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46,514</w:t>
            </w:r>
          </w:p>
        </w:tc>
        <w:tc>
          <w:tcPr>
            <w:tcW w:w="100" w:type="dxa"/>
            <w:vAlign w:val="bottom"/>
          </w:tcPr>
          <w:p>
            <w:pPr>
              <w:spacing w:after="0"/>
              <w:rPr>
                <w:sz w:val="19"/>
                <w:szCs w:val="19"/>
                <w:color w:val="auto"/>
              </w:rPr>
            </w:pPr>
          </w:p>
        </w:tc>
      </w:tr>
      <w:tr>
        <w:trPr>
          <w:trHeight w:val="21"/>
        </w:trPr>
        <w:tc>
          <w:tcPr>
            <w:tcW w:w="7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Performance Share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PSUs activity under the Plans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date fair value per share</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spacing w:after="0"/>
              <w:rPr>
                <w:sz w:val="20"/>
                <w:szCs w:val="20"/>
                <w:color w:val="auto"/>
              </w:rPr>
            </w:pPr>
            <w:r>
              <w:rPr>
                <w:rFonts w:ascii="Arial" w:cs="Arial" w:eastAsia="Arial" w:hAnsi="Arial"/>
                <w:sz w:val="18"/>
                <w:szCs w:val="18"/>
                <w:color w:val="auto"/>
              </w:rPr>
              <w:t>17,761</w:t>
            </w:r>
          </w:p>
        </w:tc>
        <w:tc>
          <w:tcPr>
            <w:tcW w:w="86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86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 and 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860" w:type="dxa"/>
            <w:vAlign w:val="bottom"/>
            <w:tcBorders>
              <w:bottom w:val="single" w:sz="8" w:color="CCEEFF"/>
            </w:tcBorders>
            <w:gridSpan w:val="2"/>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42,254</w:t>
            </w:r>
          </w:p>
        </w:tc>
        <w:tc>
          <w:tcPr>
            <w:tcW w:w="86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2025, unrecognized compensation costs related to unvested RSUs and PSUs was $197.6 million. These costs are expected to be recognized over a weighted-average period of 2.2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under the Plans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55"/>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 Average</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6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rPr>
              <w:t>Exercise Price per</w:t>
            </w: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 Contractual</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5"/>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 (Years)</w:t>
            </w:r>
          </w:p>
        </w:tc>
        <w:tc>
          <w:tcPr>
            <w:tcW w:w="260" w:type="dxa"/>
            <w:vAlign w:val="bottom"/>
          </w:tcPr>
          <w:p>
            <w:pPr>
              <w:spacing w:after="0"/>
              <w:rPr>
                <w:sz w:val="16"/>
                <w:szCs w:val="16"/>
                <w:color w:val="auto"/>
              </w:rPr>
            </w:pPr>
          </w:p>
        </w:tc>
        <w:tc>
          <w:tcPr>
            <w:tcW w:w="1120" w:type="dxa"/>
            <w:vAlign w:val="bottom"/>
          </w:tcPr>
          <w:p>
            <w:pPr>
              <w:jc w:val="right"/>
              <w:ind w:right="354"/>
              <w:spacing w:after="0" w:line="189" w:lineRule="exact"/>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Canceled and 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Exercisable as of March 31, 2025 </w:t>
            </w:r>
            <w:r>
              <w:rPr>
                <w:rFonts w:ascii="Arial" w:cs="Arial" w:eastAsia="Arial" w:hAnsi="Arial"/>
                <w:sz w:val="23"/>
                <w:szCs w:val="23"/>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8"/>
                <w:szCs w:val="18"/>
                <w:color w:val="auto"/>
              </w:rPr>
              <w:t>9,830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March 31,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5" w:lineRule="auto"/>
        <w:tabs>
          <w:tab w:leader="none" w:pos="22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Intrinsic value is calculated based on the difference between the exercise price of in-the-money-stock options and the fair value of the common stock as of the respective balance sheet dates.</w:t>
      </w:r>
    </w:p>
    <w:p>
      <w:pPr>
        <w:spacing w:after="0" w:line="63"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2011 Plan allows for early exercise of stock options. Accordingly, options granted under this plan are included as exercisable stock options regardless of vesting status.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2025, aggregate unrecognized compensation costs related to unvested outstanding stock options was $6.0 million. These costs are expected to be recognized over a weighted-average period of 1.3 years.</w:t>
      </w:r>
    </w:p>
    <w:p>
      <w:pPr>
        <w:spacing w:after="0" w:line="31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6, 2024, the Company’s Board of Directors authorized a share repurchase program of up to $200 million of the Company’s Class A common stock (the “2024 Share Repurchase Program”). Under the 2024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2024 Share Repurchase Program has no set expiration date.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25, 2025, the Company’s Board of Directors authorized an additional share repurchase program of up to $300 million of the Company’s Class A common stock (the “2025 Share Repurchase Program”). Under the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2025 Share Repurchase Program has no set expiration date.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2025, the Company repurchased approximately 19.2 million shares for $80.5 million under the 2024 Share Repurchase Program, for an average price of $4.20. The total price of the shares repurchased and the related transaction costs and excise taxes of $ 1.1 million during the three months ended March 31, 2025 are reflected as a reduction to common stock and Additional paid-in capital on the Company’s Condensed Consolidated Balance Sheets. Repurchases under the 2024 Share Repurchase Program were completed as of March 31, 2025.</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2025, the Company repurchased approximately 7.1 million shares for $30.3 million under the 2025 Share Repurchase Program, for an average price of $4.28. The total price of the shares repurchased and the related transaction costs and excise taxes of $0.5 million during the three months ended March 31, 2025 are reflected as a reduction to Common stock and Additional paid-in capital on the Company’s Condensed Consolidated Balance Sheets. As of March 31, 2025, $269.7 million remained available for future share repurchases under the 2025 Share Repurchase Program.</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2024, the Company repurchased and subsequently retired 5.2 million shares for $32.8 million under the share repurchase program authorized in May 2023 (the “2023 Share Repurchase Program”), for an average price of $6.27. Repurchases under the 2023 Share Repurchase Program were completed as of March 31, 2024.</w:t>
      </w:r>
    </w:p>
    <w:p>
      <w:pPr>
        <w:spacing w:after="0" w:line="33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outstanding during the period. Diluted net loss per share is computed by dividing net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line="197" w:lineRule="exact"/>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8"/>
                <w:szCs w:val="18"/>
                <w:b w:val="1"/>
                <w:bCs w:val="1"/>
                <w:color w:val="auto"/>
                <w:vertAlign w:val="superscript"/>
              </w:rPr>
              <w:t>(1)</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A</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Class B</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Class A</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82"/>
        </w:trPr>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 basic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 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(32,280)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260" w:type="dxa"/>
            <w:vAlign w:val="bottom"/>
          </w:tcPr>
          <w:p>
            <w:pPr>
              <w:ind w:left="20"/>
              <w:spacing w:after="0" w:line="153" w:lineRule="exact"/>
              <w:rPr>
                <w:sz w:val="20"/>
                <w:szCs w:val="20"/>
                <w:color w:val="auto"/>
              </w:rPr>
            </w:pPr>
            <w:r>
              <w:rPr>
                <w:rFonts w:ascii="Arial" w:cs="Arial" w:eastAsia="Arial" w:hAnsi="Arial"/>
                <w:sz w:val="14"/>
                <w:szCs w:val="14"/>
                <w:color w:val="auto"/>
              </w:rPr>
              <w:t>Weighted-average shares used in computing basic net loss share attributable to common</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467,927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33,295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463,694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54,294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26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Effect of dilutive potential shares of common stock</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6260" w:type="dxa"/>
            <w:vAlign w:val="bottom"/>
          </w:tcPr>
          <w:p>
            <w:pPr>
              <w:ind w:left="20"/>
              <w:spacing w:after="0" w:line="133" w:lineRule="exact"/>
              <w:rPr>
                <w:sz w:val="20"/>
                <w:szCs w:val="20"/>
                <w:color w:val="auto"/>
              </w:rPr>
            </w:pPr>
            <w:r>
              <w:rPr>
                <w:rFonts w:ascii="Arial" w:cs="Arial" w:eastAsia="Arial" w:hAnsi="Arial"/>
                <w:sz w:val="14"/>
                <w:szCs w:val="14"/>
                <w:color w:val="auto"/>
              </w:rPr>
              <w:t>Weighted-average shares used in computing diluted net loss per share attributable to common</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467,927</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33,295</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463,694</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260" w:type="dxa"/>
            <w:vAlign w:val="bottom"/>
          </w:tcPr>
          <w:p>
            <w:pPr>
              <w:ind w:left="20"/>
              <w:spacing w:after="0"/>
              <w:rPr>
                <w:sz w:val="20"/>
                <w:szCs w:val="20"/>
                <w:color w:val="auto"/>
              </w:rPr>
            </w:pPr>
            <w:r>
              <w:rPr>
                <w:rFonts w:ascii="Arial" w:cs="Arial" w:eastAsia="Arial" w:hAnsi="Arial"/>
                <w:sz w:val="14"/>
                <w:szCs w:val="14"/>
                <w:color w:val="auto"/>
              </w:rPr>
              <w:t>stockholders</w:t>
            </w: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180"/>
              <w:spacing w:after="0"/>
              <w:rPr>
                <w:sz w:val="20"/>
                <w:szCs w:val="20"/>
                <w:color w:val="auto"/>
              </w:rPr>
            </w:pPr>
            <w:r>
              <w:rPr>
                <w:rFonts w:ascii="Arial" w:cs="Arial" w:eastAsia="Arial" w:hAnsi="Arial"/>
                <w:sz w:val="14"/>
                <w:szCs w:val="14"/>
                <w:color w:val="auto"/>
              </w:rPr>
              <w:t>Net loss per share attributable to common stockholders, 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per share attributable to common stockholders, diluted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8"/>
        <w:spacing w:after="0" w:line="229" w:lineRule="auto"/>
        <w:tabs>
          <w:tab w:leader="none" w:pos="15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prior period Net loss per share for Class A and Class B common stock has been presented separately to conform with current period presentation, which had no impact on the Company’s previously reported basic or diluted net loss per share</w:t>
      </w:r>
      <w:r>
        <w:rPr>
          <w:rFonts w:ascii="Arial" w:cs="Arial" w:eastAsia="Arial" w:hAnsi="Arial"/>
          <w:sz w:val="11"/>
          <w:szCs w:val="11"/>
          <w:color w:val="auto"/>
        </w:rPr>
        <w: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the liquidation and dividend rights are identical for Class A common stock and Class B common stock, the undistributed earnings are allocated on a proportionate basis and the resulting income or loss per share will, therefore, be the same for both Class A common stock and Class B common stock on an individual or combined basis.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during the three months ended March 31, 2025 and 2024 because including them would have had an anti-dilutive effect as the Company was in a loss position during the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Warrants to purchase Class B common stock</w:t>
      </w:r>
    </w:p>
    <w:p>
      <w:pPr>
        <w:spacing w:after="0" w:line="63"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Stock options, restricted stock, and employee stock purchase plan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0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22225</wp:posOffset>
            </wp:positionV>
            <wp:extent cx="1945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p>
      <w:pPr>
        <w:spacing w:after="0"/>
        <w:tabs>
          <w:tab w:leader="none" w:pos="1560" w:val="left"/>
        </w:tabs>
        <w:rPr>
          <w:sz w:val="20"/>
          <w:szCs w:val="20"/>
          <w:color w:val="auto"/>
        </w:rPr>
      </w:pPr>
      <w:r>
        <w:rPr>
          <w:rFonts w:ascii="Arial" w:cs="Arial" w:eastAsia="Arial" w:hAnsi="Arial"/>
          <w:sz w:val="13"/>
          <w:szCs w:val="13"/>
          <w:b w:val="1"/>
          <w:bCs w:val="1"/>
          <w:color w:val="auto"/>
        </w:rPr>
        <w:t>Class A</w:t>
      </w:r>
      <w:r>
        <w:rPr>
          <w:sz w:val="20"/>
          <w:szCs w:val="20"/>
          <w:color w:val="auto"/>
        </w:rPr>
        <w:tab/>
      </w:r>
      <w:r>
        <w:rPr>
          <w:rFonts w:ascii="Arial" w:cs="Arial" w:eastAsia="Arial" w:hAnsi="Arial"/>
          <w:sz w:val="13"/>
          <w:szCs w:val="13"/>
          <w:b w:val="1"/>
          <w:bCs w:val="1"/>
          <w:color w:val="auto"/>
        </w:rPr>
        <w:t>Class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22225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1,900</w:t>
      </w:r>
    </w:p>
    <w:p>
      <w:pPr>
        <w:spacing w:after="0" w:line="279" w:lineRule="exact"/>
        <w:rPr>
          <w:sz w:val="20"/>
          <w:szCs w:val="20"/>
          <w:color w:val="auto"/>
        </w:rPr>
      </w:pPr>
    </w:p>
    <w:p>
      <w:pPr>
        <w:jc w:val="both"/>
        <w:ind w:left="360"/>
        <w:spacing w:after="0"/>
        <w:tabs>
          <w:tab w:leader="none" w:pos="2020" w:val="left"/>
        </w:tabs>
        <w:rPr>
          <w:sz w:val="20"/>
          <w:szCs w:val="20"/>
          <w:color w:val="auto"/>
        </w:rPr>
      </w:pPr>
      <w:r>
        <w:rPr>
          <w:rFonts w:ascii="Arial" w:cs="Arial" w:eastAsia="Arial" w:hAnsi="Arial"/>
          <w:sz w:val="18"/>
          <w:szCs w:val="18"/>
          <w:color w:val="auto"/>
        </w:rPr>
        <w:t>48,609</w:t>
      </w:r>
      <w:r>
        <w:rPr>
          <w:sz w:val="20"/>
          <w:szCs w:val="20"/>
          <w:color w:val="auto"/>
        </w:rPr>
        <w:tab/>
      </w:r>
      <w:r>
        <w:rPr>
          <w:rFonts w:ascii="Arial" w:cs="Arial" w:eastAsia="Arial" w:hAnsi="Arial"/>
          <w:sz w:val="18"/>
          <w:szCs w:val="18"/>
          <w:color w:val="auto"/>
        </w:rPr>
        <w:t>5,169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17780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jc w:val="both"/>
        <w:ind w:left="360"/>
        <w:spacing w:after="0"/>
        <w:tabs>
          <w:tab w:leader="none" w:pos="2020" w:val="left"/>
        </w:tabs>
        <w:rPr>
          <w:sz w:val="20"/>
          <w:szCs w:val="20"/>
          <w:color w:val="auto"/>
        </w:rPr>
      </w:pPr>
      <w:r>
        <w:rPr>
          <w:rFonts w:ascii="Arial" w:cs="Arial" w:eastAsia="Arial" w:hAnsi="Arial"/>
          <w:sz w:val="18"/>
          <w:szCs w:val="18"/>
          <w:color w:val="auto"/>
        </w:rPr>
        <w:t>48,609</w:t>
      </w:r>
      <w:r>
        <w:rPr>
          <w:sz w:val="20"/>
          <w:szCs w:val="20"/>
          <w:color w:val="auto"/>
        </w:rPr>
        <w:tab/>
      </w:r>
      <w:r>
        <w:rPr>
          <w:rFonts w:ascii="Arial" w:cs="Arial" w:eastAsia="Arial" w:hAnsi="Arial"/>
          <w:sz w:val="18"/>
          <w:szCs w:val="18"/>
          <w:color w:val="auto"/>
        </w:rPr>
        <w:t>7,069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43180</wp:posOffset>
            </wp:positionV>
            <wp:extent cx="19456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22225</wp:posOffset>
            </wp:positionV>
            <wp:extent cx="1868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33" w:lineRule="exact"/>
        <w:rPr>
          <w:sz w:val="20"/>
          <w:szCs w:val="20"/>
          <w:color w:val="auto"/>
        </w:rPr>
      </w:pPr>
    </w:p>
    <w:p>
      <w:pPr>
        <w:spacing w:after="0"/>
        <w:tabs>
          <w:tab w:leader="none" w:pos="1500" w:val="left"/>
        </w:tabs>
        <w:rPr>
          <w:sz w:val="20"/>
          <w:szCs w:val="20"/>
          <w:color w:val="auto"/>
        </w:rPr>
      </w:pPr>
      <w:r>
        <w:rPr>
          <w:rFonts w:ascii="Arial" w:cs="Arial" w:eastAsia="Arial" w:hAnsi="Arial"/>
          <w:sz w:val="13"/>
          <w:szCs w:val="13"/>
          <w:b w:val="1"/>
          <w:bCs w:val="1"/>
          <w:color w:val="auto"/>
        </w:rPr>
        <w:t>Class A</w:t>
      </w:r>
      <w:r>
        <w:rPr>
          <w:sz w:val="20"/>
          <w:szCs w:val="20"/>
          <w:color w:val="auto"/>
        </w:rPr>
        <w:tab/>
      </w:r>
      <w:r>
        <w:rPr>
          <w:rFonts w:ascii="Arial" w:cs="Arial" w:eastAsia="Arial" w:hAnsi="Arial"/>
          <w:sz w:val="13"/>
          <w:szCs w:val="13"/>
          <w:b w:val="1"/>
          <w:bCs w:val="1"/>
          <w:color w:val="auto"/>
        </w:rPr>
        <w:t>Class B</w:t>
      </w:r>
    </w:p>
    <w:p>
      <w:pPr>
        <w:spacing w:after="0" w:line="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1,900</w:t>
      </w:r>
    </w:p>
    <w:p>
      <w:pPr>
        <w:spacing w:after="0" w:line="279" w:lineRule="exact"/>
        <w:rPr>
          <w:sz w:val="20"/>
          <w:szCs w:val="20"/>
          <w:color w:val="auto"/>
        </w:rPr>
      </w:pPr>
    </w:p>
    <w:p>
      <w:pPr>
        <w:jc w:val="both"/>
        <w:ind w:left="360"/>
        <w:spacing w:after="0"/>
        <w:tabs>
          <w:tab w:leader="none" w:pos="1800" w:val="left"/>
        </w:tabs>
        <w:rPr>
          <w:sz w:val="20"/>
          <w:szCs w:val="20"/>
          <w:color w:val="auto"/>
        </w:rPr>
      </w:pPr>
      <w:r>
        <w:rPr>
          <w:rFonts w:ascii="Arial" w:cs="Arial" w:eastAsia="Arial" w:hAnsi="Arial"/>
          <w:sz w:val="18"/>
          <w:szCs w:val="18"/>
          <w:color w:val="auto"/>
        </w:rPr>
        <w:t>55,075</w:t>
      </w:r>
      <w:r>
        <w:rPr>
          <w:sz w:val="20"/>
          <w:szCs w:val="20"/>
          <w:color w:val="auto"/>
        </w:rPr>
        <w:tab/>
      </w:r>
      <w:r>
        <w:rPr>
          <w:rFonts w:ascii="Arial" w:cs="Arial" w:eastAsia="Arial" w:hAnsi="Arial"/>
          <w:sz w:val="18"/>
          <w:szCs w:val="18"/>
          <w:color w:val="auto"/>
        </w:rPr>
        <w:t>28,201</w:t>
      </w:r>
    </w:p>
    <w:p>
      <w:pPr>
        <w:spacing w:after="0" w:line="36" w:lineRule="exact"/>
        <w:rPr>
          <w:sz w:val="20"/>
          <w:szCs w:val="20"/>
          <w:color w:val="auto"/>
        </w:rPr>
      </w:pPr>
    </w:p>
    <w:p>
      <w:pPr>
        <w:jc w:val="both"/>
        <w:ind w:left="360"/>
        <w:spacing w:after="0"/>
        <w:tabs>
          <w:tab w:leader="none" w:pos="1800" w:val="left"/>
        </w:tabs>
        <w:rPr>
          <w:sz w:val="20"/>
          <w:szCs w:val="20"/>
          <w:color w:val="auto"/>
        </w:rPr>
      </w:pPr>
      <w:r>
        <w:rPr>
          <w:rFonts w:ascii="Arial" w:cs="Arial" w:eastAsia="Arial" w:hAnsi="Arial"/>
          <w:sz w:val="18"/>
          <w:szCs w:val="18"/>
          <w:color w:val="auto"/>
        </w:rPr>
        <w:t>55,075</w:t>
      </w:r>
      <w:r>
        <w:rPr>
          <w:sz w:val="20"/>
          <w:szCs w:val="20"/>
          <w:color w:val="auto"/>
        </w:rPr>
        <w:tab/>
      </w:r>
      <w:r>
        <w:rPr>
          <w:rFonts w:ascii="Arial" w:cs="Arial" w:eastAsia="Arial" w:hAnsi="Arial"/>
          <w:sz w:val="18"/>
          <w:szCs w:val="18"/>
          <w:color w:val="auto"/>
        </w:rPr>
        <w:t>30,101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43180</wp:posOffset>
            </wp:positionV>
            <wp:extent cx="18688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859" w:lineRule="exact"/>
        <w:rPr>
          <w:sz w:val="20"/>
          <w:szCs w:val="20"/>
          <w:color w:val="auto"/>
        </w:rPr>
      </w:pPr>
    </w:p>
    <w:p>
      <w:pPr>
        <w:sectPr>
          <w:pgSz w:w="11900" w:h="16838" w:orient="portrait"/>
          <w:cols w:equalWidth="0" w:num="3">
            <w:col w:w="4920" w:space="720"/>
            <w:col w:w="2480" w:space="680"/>
            <w:col w:w="2440"/>
          </w:cols>
          <w:pgMar w:left="320" w:top="125" w:right="339" w:bottom="1440" w:gutter="0" w:footer="0" w:header="0"/>
          <w:type w:val="continuous"/>
        </w:sectPr>
      </w:pPr>
    </w:p>
    <w:p>
      <w:pPr>
        <w:jc w:val="both"/>
        <w:spacing w:after="0" w:line="268" w:lineRule="auto"/>
        <w:rPr>
          <w:sz w:val="20"/>
          <w:szCs w:val="20"/>
          <w:color w:val="auto"/>
        </w:rPr>
      </w:pPr>
      <w:r>
        <w:rPr>
          <w:rFonts w:ascii="Arial" w:cs="Arial" w:eastAsia="Arial" w:hAnsi="Arial"/>
          <w:sz w:val="18"/>
          <w:szCs w:val="18"/>
          <w:color w:val="auto"/>
        </w:rPr>
        <w:t>The Company recorded an income tax provision of $0.2 million and $0.1 million for the three months ended March 31, 2025 and 2024, respectively. The income tax provision for both respective periods was primarily attributable to income tax expense in profitable foreign jurisdictions.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subject to income tax audits in the U.S. and foreign jurisdictions. We record liabilities related to uncertain tax positions and believe that we have provided adequate reserves for income tax uncertainties in all open tax years.</w:t>
      </w:r>
    </w:p>
    <w:p>
      <w:pPr>
        <w:spacing w:after="0" w:line="3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Risks and Significant Customers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Financial instruments that potentially expose the Company to concentration of credit risk consist of cash and cash equivalents, short-term investments, and accounts receivable. Cash on deposit with financial institutions may exceed federally insured limits.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2025 and December 31, 2024, short-term investments were $157.5 million and $179.4 million, respectively, and there was no concentration of securities of the same issuer with an aggregate fair value greater than 5% of the total balance, except for U.S. treasury securities, which amounted to $147.4 million, or 94% of the short-term investment balance at March 31, 2025 and $168.9 million, or 94% of the short-term investment balance at December 31, 2024, respectively. As of March 31, 2025 and December 31, 2024, all debt securities within the Company's portfolio are investment grade.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three months ended March 31, 2025 and 2024, 67% and 74% of Total Processing Volume, which is the total dollar amount of payments processed through the Company’s platform, net of returns and chargebacks, was settled through Sutton Bank, respectively.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significant portion of the Company's revenue is derived from one customer. For the three months ended March 31, 2025 and 2024, this customer accounted for 45% and 49% of the Company’s net revenue, respectively. As of March 31, 2025, one customer accounted for 14%, of the Company’s accounts receivable balance. As of December 31, 2024, two separate customers accounted for 13% and 10% of the Company’s accounts receivable balance.</w:t>
      </w:r>
    </w:p>
    <w:p>
      <w:pPr>
        <w:spacing w:after="0" w:line="28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chief operating decision maker (“CODM”) is its Interim Chief Executive Officer and Chief Financial Officer, who regularly reviews financial information presented on a consolidated basis for purposes of allocating resources and evaluating financial performance.</w:t>
      </w:r>
    </w:p>
    <w:p>
      <w:pPr>
        <w:spacing w:after="0" w:line="226" w:lineRule="auto"/>
        <w:rPr>
          <w:sz w:val="20"/>
          <w:szCs w:val="20"/>
          <w:color w:val="auto"/>
        </w:rPr>
      </w:pPr>
      <w:r>
        <w:rPr>
          <w:rFonts w:ascii="Arial" w:cs="Arial" w:eastAsia="Arial" w:hAnsi="Arial"/>
          <w:sz w:val="18"/>
          <w:szCs w:val="18"/>
          <w:color w:val="auto"/>
        </w:rPr>
        <w:t>The Company provides a single, global, cloud-based, open API platform for modern card issuing and transaction processing, and primarily earns revenue from processing card transactions for its customers. As such, the Company operates as a single operating segment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reporting unit.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CODM assesses performance and decides how to allocate resources based on consolidated net income or loss as the measure of profit and loss and consolidated total assets. The measure of segment assets is reported on the balance sheet as total assets. The CODM uses net income or loss in the annual budgeting process and subsequent monitoring of budget versus actual results as well as in assessing the return on consolidated total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information used by the CODM in assessing segment performance: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11"/>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139,073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117,968</w:t>
            </w:r>
          </w:p>
        </w:tc>
        <w:tc>
          <w:tcPr>
            <w:tcW w:w="100" w:type="dxa"/>
            <w:vAlign w:val="bottom"/>
            <w:shd w:val="clear" w:color="auto" w:fill="CCEEFF"/>
          </w:tcPr>
          <w:p>
            <w:pPr>
              <w:spacing w:after="0"/>
              <w:rPr>
                <w:sz w:val="18"/>
                <w:szCs w:val="18"/>
                <w:color w:val="auto"/>
              </w:rPr>
            </w:pPr>
          </w:p>
        </w:tc>
      </w:tr>
      <w:tr>
        <w:trPr>
          <w:trHeight w:val="21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40,394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33,807</w:t>
            </w:r>
          </w:p>
        </w:tc>
        <w:tc>
          <w:tcPr>
            <w:tcW w:w="100" w:type="dxa"/>
            <w:vAlign w:val="bottom"/>
            <w:tcBorders>
              <w:bottom w:val="single" w:sz="8" w:color="CCEEFF"/>
            </w:tcBorders>
          </w:tcPr>
          <w:p>
            <w:pPr>
              <w:spacing w:after="0"/>
              <w:rPr>
                <w:sz w:val="18"/>
                <w:szCs w:val="18"/>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84,161</w:t>
            </w:r>
          </w:p>
        </w:tc>
        <w:tc>
          <w:tcPr>
            <w:tcW w:w="100" w:type="dxa"/>
            <w:vAlign w:val="bottom"/>
            <w:shd w:val="clear" w:color="auto" w:fill="CCEEFF"/>
          </w:tcPr>
          <w:p>
            <w:pPr>
              <w:spacing w:after="0"/>
              <w:rPr>
                <w:sz w:val="18"/>
                <w:szCs w:val="18"/>
                <w:color w:val="auto"/>
              </w:rPr>
            </w:pPr>
          </w:p>
        </w:tc>
      </w:tr>
      <w:tr>
        <w:trPr>
          <w:trHeight w:val="195"/>
        </w:trPr>
        <w:tc>
          <w:tcPr>
            <w:tcW w:w="7620" w:type="dxa"/>
            <w:vAlign w:val="bottom"/>
          </w:tcPr>
          <w:p>
            <w:pPr>
              <w:ind w:left="20"/>
              <w:spacing w:after="0"/>
              <w:rPr>
                <w:sz w:val="20"/>
                <w:szCs w:val="20"/>
                <w:color w:val="auto"/>
              </w:rPr>
            </w:pPr>
            <w:r>
              <w:rPr>
                <w:rFonts w:ascii="Arial" w:cs="Arial" w:eastAsia="Arial" w:hAnsi="Arial"/>
                <w:sz w:val="16"/>
                <w:szCs w:val="16"/>
                <w:color w:val="auto"/>
              </w:rPr>
              <w:t>Significant expenses:</w:t>
            </w: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compensation and benefits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63,677</w:t>
            </w:r>
          </w:p>
        </w:tc>
        <w:tc>
          <w:tcPr>
            <w:tcW w:w="100" w:type="dxa"/>
            <w:vAlign w:val="bottom"/>
            <w:shd w:val="clear" w:color="auto" w:fill="CCEEFF"/>
          </w:tcPr>
          <w:p>
            <w:pPr>
              <w:spacing w:after="0"/>
              <w:rPr>
                <w:sz w:val="18"/>
                <w:szCs w:val="18"/>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Share based compensation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25,915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31,313</w:t>
            </w:r>
          </w:p>
        </w:tc>
        <w:tc>
          <w:tcPr>
            <w:tcW w:w="100" w:type="dxa"/>
            <w:vAlign w:val="bottom"/>
          </w:tcPr>
          <w:p>
            <w:pPr>
              <w:spacing w:after="0"/>
              <w:rPr>
                <w:sz w:val="18"/>
                <w:szCs w:val="18"/>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13,118</w:t>
            </w:r>
          </w:p>
        </w:tc>
        <w:tc>
          <w:tcPr>
            <w:tcW w:w="100" w:type="dxa"/>
            <w:vAlign w:val="bottom"/>
            <w:shd w:val="clear" w:color="auto" w:fill="CCEEFF"/>
          </w:tcPr>
          <w:p>
            <w:pPr>
              <w:spacing w:after="0"/>
              <w:rPr>
                <w:sz w:val="18"/>
                <w:szCs w:val="18"/>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Professional services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5,695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3,870</w:t>
            </w:r>
          </w:p>
        </w:tc>
        <w:tc>
          <w:tcPr>
            <w:tcW w:w="100" w:type="dxa"/>
            <w:vAlign w:val="bottom"/>
          </w:tcPr>
          <w:p>
            <w:pPr>
              <w:spacing w:after="0"/>
              <w:rPr>
                <w:sz w:val="18"/>
                <w:szCs w:val="18"/>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Occupancy and equipment</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5,331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3,537</w:t>
            </w:r>
          </w:p>
        </w:tc>
        <w:tc>
          <w:tcPr>
            <w:tcW w:w="100" w:type="dxa"/>
            <w:vAlign w:val="bottom"/>
          </w:tcPr>
          <w:p>
            <w:pPr>
              <w:spacing w:after="0"/>
              <w:rPr>
                <w:sz w:val="18"/>
                <w:szCs w:val="18"/>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Marketing and advertising</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Other operating expenses</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3,944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18"/>
                <w:szCs w:val="18"/>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Executive Chairman Long-Term Performance Award</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13,121</w:t>
            </w:r>
          </w:p>
        </w:tc>
        <w:tc>
          <w:tcPr>
            <w:tcW w:w="100" w:type="dxa"/>
            <w:vAlign w:val="bottom"/>
            <w:shd w:val="clear" w:color="auto" w:fill="CCEEFF"/>
          </w:tcPr>
          <w:p>
            <w:pPr>
              <w:spacing w:after="0"/>
              <w:rPr>
                <w:sz w:val="18"/>
                <w:szCs w:val="18"/>
                <w:color w:val="auto"/>
              </w:rPr>
            </w:pPr>
          </w:p>
        </w:tc>
      </w:tr>
      <w:tr>
        <w:trPr>
          <w:trHeight w:val="209"/>
        </w:trPr>
        <w:tc>
          <w:tcPr>
            <w:tcW w:w="76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(18,538)</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(49,852)</w:t>
            </w:r>
          </w:p>
        </w:tc>
        <w:tc>
          <w:tcPr>
            <w:tcW w:w="100" w:type="dxa"/>
            <w:vAlign w:val="bottom"/>
          </w:tcPr>
          <w:p>
            <w:pPr>
              <w:spacing w:after="0"/>
              <w:rPr>
                <w:sz w:val="18"/>
                <w:szCs w:val="18"/>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14,170</w:t>
            </w:r>
          </w:p>
        </w:tc>
        <w:tc>
          <w:tcPr>
            <w:tcW w:w="100" w:type="dxa"/>
            <w:vAlign w:val="bottom"/>
            <w:shd w:val="clear" w:color="auto" w:fill="CCEEFF"/>
          </w:tcPr>
          <w:p>
            <w:pPr>
              <w:spacing w:after="0"/>
              <w:rPr>
                <w:sz w:val="18"/>
                <w:szCs w:val="18"/>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Other income (expense)</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r>
      <w:tr>
        <w:trPr>
          <w:trHeight w:val="210"/>
        </w:trPr>
        <w:tc>
          <w:tcPr>
            <w:tcW w:w="7620" w:type="dxa"/>
            <w:vAlign w:val="bottom"/>
          </w:tcPr>
          <w:p>
            <w:pPr>
              <w:ind w:left="20"/>
              <w:spacing w:after="0" w:line="210" w:lineRule="exact"/>
              <w:rPr>
                <w:sz w:val="20"/>
                <w:szCs w:val="20"/>
                <w:color w:val="auto"/>
              </w:rPr>
            </w:pPr>
            <w:r>
              <w:rPr>
                <w:rFonts w:ascii="Arial" w:cs="Arial" w:eastAsia="Arial" w:hAnsi="Arial"/>
                <w:sz w:val="16"/>
                <w:szCs w:val="16"/>
                <w:color w:val="auto"/>
              </w:rPr>
              <w:t>Segment and consolidated net loss</w:t>
            </w:r>
            <w:r>
              <w:rPr>
                <w:rFonts w:ascii="Arial" w:cs="Arial" w:eastAsia="Arial" w:hAnsi="Arial"/>
                <w:sz w:val="21"/>
                <w:szCs w:val="21"/>
                <w:color w:val="auto"/>
                <w:vertAlign w:val="superscript"/>
              </w:rPr>
              <w:t>1</w:t>
            </w:r>
          </w:p>
        </w:tc>
        <w:tc>
          <w:tcPr>
            <w:tcW w:w="104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(36,060)</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8"/>
        <w:spacing w:after="0" w:line="222" w:lineRule="auto"/>
        <w:tabs>
          <w:tab w:leader="none" w:pos="99"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 The Company operates as a single reportable segment that is managed on a consolidated basis, therefore the Company’s segment net loss is the same as the Company’s consolidated net loss.</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three months ended March 31, 2025 and 2024, net revenue outside of the United States, based on the billing address of the customer, was 11% and 8%, respectively.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31, 2025 and December 31, 2024, long-lived assets located outside of the United States were not material and not used by the CODM in assessing and evaluating financial performance and allocating resources.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in our 2024 Annual Report.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or incorporated by reference under the section titled “Risk Factors” in this Quarterly Report on Form 10-Q and in our 2024 Annual Report.</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Overview</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card program management, allowing our customers to embed Marqeta in their offering without having to build certain complex compliance elements or customer support services.</w:t>
      </w:r>
    </w:p>
    <w:p>
      <w:pPr>
        <w:spacing w:after="0" w:line="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Marqeta’s innovative products are developed with deep domain expertise and a customer-first mindset to launch, scale, and manage card programs. Marqeta provides all of its customers with issuer processor services, and for most of its customers it also acts as a card program manager. Depending on a customer’s desired level of control and responsibility, Marqeta can work with companies in a range of different configurations, but generally provides the following offerings:</w:t>
      </w:r>
    </w:p>
    <w:p>
      <w:pPr>
        <w:spacing w:after="0" w:line="14" w:lineRule="exact"/>
        <w:rPr>
          <w:sz w:val="20"/>
          <w:szCs w:val="20"/>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Managed By Marqeta: With Managed By Marqeta (“MxM”), Marqeta typically connects customers to an Issuing Bank partner to act as the Bank Identification Number (“BIN”) sponsor for the customer’s card program, manages the customer’s card program on behalf of the Issuing Bank, and provides a full range of services including configuring many of the critical resources required by a customer’s production environment. In addition to providing the customer access to the Marqeta dashboard via our APIs, Marqeta also manages a number of the primary tasks related to launching a card program, such as defining and managing the program with the Card Networks and Issuing Bank, operating the program and managing certain profitability components, and managing compliance with applicable regulations, the Issuing Bank, and Card Network rules. Also available are a variety of managed services, including dispute management, fraud scoring, card fulfillment, reconciliation, and cardholder support services.</w:t>
      </w:r>
    </w:p>
    <w:p>
      <w:pPr>
        <w:spacing w:after="0" w:line="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Powered By Marqeta: With Powered By Marqeta (“PxM”), Marqeta also provides customers access to the Marqeta dashboard via our APIs, provides payment processing, and assists with certain configuration elements that enable the customer to use the platform independently. Generally, our PxM customers are responsible for other elements of the card program, including defining and managing the program with the Card Networks and Issuing Bank as well as managing compliance with applicable regulations, the Issuing Bank, and Card Network rules.</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Given the modularity of the Marqeta platform, certain customers can also opt to incorporate some elements of MxM into their card program to create a custom solution. Many customers adopt some combination of the MxM managed services even when not adopting the full MxM offering.</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Impact of Macroeconomic Factors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 tariffs and countertariffs,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in this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Quarterly Report on Form 10-Q and in our 2024 Annual Report for further discussion or incorporation by reference of the possible impact of these macroeconomic factors on our business.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6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 March 31,</w:t>
            </w:r>
          </w:p>
        </w:tc>
      </w:tr>
      <w:tr>
        <w:trPr>
          <w:trHeight w:val="21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(dollars in thousands unless otherwise noted)</w:t>
            </w: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84,472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66,666</w:t>
            </w:r>
          </w:p>
        </w:tc>
        <w:tc>
          <w:tcPr>
            <w:tcW w:w="100" w:type="dxa"/>
            <w:vAlign w:val="bottom"/>
            <w:shd w:val="clear" w:color="auto" w:fill="CCEEFF"/>
          </w:tcPr>
          <w:p>
            <w:pPr>
              <w:spacing w:after="0"/>
              <w:rPr>
                <w:sz w:val="19"/>
                <w:szCs w:val="19"/>
                <w:color w:val="auto"/>
              </w:rPr>
            </w:pPr>
          </w:p>
        </w:tc>
      </w:tr>
      <w:tr>
        <w:trPr>
          <w:trHeight w:val="270"/>
        </w:trPr>
        <w:tc>
          <w:tcPr>
            <w:tcW w:w="7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139,073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117,968</w:t>
            </w:r>
          </w:p>
        </w:tc>
        <w:tc>
          <w:tcPr>
            <w:tcW w:w="100" w:type="dxa"/>
            <w:vAlign w:val="bottom"/>
            <w:shd w:val="clear" w:color="auto" w:fill="CCEEFF"/>
          </w:tcPr>
          <w:p>
            <w:pPr>
              <w:spacing w:after="0"/>
              <w:rPr>
                <w:sz w:val="19"/>
                <w:szCs w:val="19"/>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98,679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84,161</w:t>
            </w:r>
          </w:p>
        </w:tc>
        <w:tc>
          <w:tcPr>
            <w:tcW w:w="1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(36,060)</w:t>
            </w:r>
          </w:p>
        </w:tc>
        <w:tc>
          <w:tcPr>
            <w:tcW w:w="1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117,217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134,013</w:t>
            </w:r>
          </w:p>
        </w:tc>
        <w:tc>
          <w:tcPr>
            <w:tcW w:w="100" w:type="dxa"/>
            <w:vAlign w:val="bottom"/>
          </w:tcPr>
          <w:p>
            <w:pPr>
              <w:spacing w:after="0"/>
              <w:rPr>
                <w:sz w:val="19"/>
                <w:szCs w:val="19"/>
                <w:color w:val="auto"/>
              </w:rPr>
            </w:pPr>
          </w:p>
        </w:tc>
      </w:tr>
      <w:tr>
        <w:trPr>
          <w:trHeight w:val="270"/>
        </w:trPr>
        <w:tc>
          <w:tcPr>
            <w:tcW w:w="74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Non-GAAP Measures: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20,081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CEEFF"/>
          </w:tcPr>
          <w:p>
            <w:pPr>
              <w:spacing w:after="0"/>
              <w:rPr>
                <w:sz w:val="19"/>
                <w:szCs w:val="19"/>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78,598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74,933</w:t>
            </w:r>
          </w:p>
        </w:tc>
        <w:tc>
          <w:tcPr>
            <w:tcW w:w="1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Total Processing Volume (“TPV”)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TPV represents the total dollar amount of payments processed through our platform, net of returns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chargebacks. We believe that TPV is a key operating metric and a principal indicator of the market adoption of our platform, growth of our brand, growth of our customers' businesses and scale of our business.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is a non-GAAP financial measure that is calculated as Net loss adjusted to exclude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share-based compensation expense; executive chairman long-term performance award;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income tax expense;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loss to Adjusted EBITDA.</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Adjusted EBITDA Margi</w:t>
      </w:r>
      <w:r>
        <w:rPr>
          <w:rFonts w:ascii="Arial" w:cs="Arial" w:eastAsia="Arial" w:hAnsi="Arial"/>
          <w:sz w:val="18"/>
          <w:szCs w:val="18"/>
          <w:b w:val="1"/>
          <w:bCs w:val="1"/>
          <w:color w:val="auto"/>
        </w:rPr>
        <w:t>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EBITDA Margin is a non-GAAP financial measure that is calculated as Adjusted EBITDA divided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 This measure is used by management and our Board of Directors to evaluate our operating efficiency. See the section below titled “Use of Non-GAAP Financial Measures” for a discussion of the use of non-GAAP measures and a reconciliation of Net loss to Adjusted EBITDA Margin.</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Non-GAAP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Non-GAAP operating expenses is a non-GAAP financial measure that is calculated as Total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adjusted to exclude depreciation and amortization; share-based compensation expense; executive chairman long-term performance award; payroll tax related to share-based compensation; restructuring and other one-time costs; and acquisition-related expenses which consists of due diligence costs, transaction cost and integration costs related to potential or successful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acquisitions, and cash and non-cash postcombination compensation expenses. We believe that non-GAAP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operating expenses to non-GAAP operating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Platform services revenue, net</w:t>
      </w:r>
      <w:r>
        <w:rPr>
          <w:rFonts w:ascii="Arial" w:cs="Arial" w:eastAsia="Arial" w:hAnsi="Arial"/>
          <w:sz w:val="18"/>
          <w:szCs w:val="18"/>
          <w:color w:val="auto"/>
        </w:rPr>
        <w:t>. Platform services revenue includes Interchange Fees, net of Revenue Share and other service-level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to customers, and Card Network and Issuing Bank costs for certain customer arrangements where the Company is an agent in the delivery of services to the customer. Platform services revenue also includes processing and other fees. “Interchange Fees” are transaction-based and volume-based fees set by a Card Network and paid by a merchant bank to the Issuing Bank that issued the payment card used to purchase goods or services from a merchant. The Company earns Interchange Fees on card transactions we process for our customers and are based on a percentage of the transaction amount plus a fixed amount per transaction. Interchange Fees are recognized when the associated transactions are settled.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Share” payments are incentives to our customers to increase their processing volumes on our platform. Revenue Share is generally computed as a percentage of the Interchange Fees earned or processing volume and is paid to our MxM customers monthly. Revenue Share payments are recorded as a reduction to net revenue. Generally, as customers' processing volumes increase, the rates at which we share revenue increase.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Processing and other fees are priced as either a percentage of processing volume or on a fee per transaction basis and are earned when payment cards are used at automated teller machines or to make cross-border purchases. Minimum processing fees, where customers' processing volumes fall below certain thresholds, are also included in processing and other fees.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billed to customers upon ordering card inventory and recognized as revenue when the cards are shipped to the customers.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of revenue consist of Card Network fees, Issuing Bank fees, and card fulfillment costs for customer arrangements where the Company is the principal in providing services to the customer and excludes depreciation and amortization, which is reported separately within the Condensed Consolidated Statements of Operations and Comprehensive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separate marketing and incentive arrangements with Card Networks that provide us with monetary incentives for establishing customer card programs with, and routing volume through, the respective Card Network. The amount of the incentives is generally determined based on a percentage of the processing volume or the number of transactions routed over the Card Network. We record these incentives as a reduction of Card Network fees in customer arrangements where the Company is the principal. Generally, as processing volumes increase, we earn a higher rate of monetary incentives from these arrangements, subject to attaining certain volume thresholds during an annual measurement period. For certain incentive arrangements with an annual measurement period, the one-year period may not align with our fiscal year.</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network incentives in the period we attain the contractual volume thresholds, given the uncertainty in the ultimate annual attainment of incentives. As such, unusual fluctuations in Card Network fees can occur in the quarter in which volume thresholds are attained as higher incentive rates are applied to volumes over the entire measurement periods, which can span six or twelve months. Generally, we earn a higher rate of monetary incentives during the first quarter of our fiscal year, as the annual measurement period is closest to completion and higher volume thresholds have been reached. In the second quarter of the fiscal year, we generally earn the lowest rate of monetary incentives as the annual measurement period and volume thresholds have reset.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we continue to enhance our processes and improve our ability to estimate these annual incentives with increasing precision, the fluctuation in recognition of these network incentives throughout the year is expected to diminish.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consists primarily of salaries, employee benefits, severance and other termination benefits,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contractors’ cost, and share-based compensation.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consists primarily of third-party hosting fees, software licenses, and hardware purchases below our capitalization threshold,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and maintenance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consists primarily of consulting, legal, audit, and recruiting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consists primarily of rent expense, repairs, maintenance, and other building related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primarily of depreciation of our fixed assets and amortization of capitalized Internal-use software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technology intangible assets.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consists primarily of costs of general marketing and promotional activities.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consists primarily of insurance costs, indemnification costs, travel-related expenses, indirect state and local taxes,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general office expenses.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Executive Chairman Long-Term Performance Award </w:t>
      </w:r>
      <w:r>
        <w:rPr>
          <w:rFonts w:ascii="Arial" w:cs="Arial" w:eastAsia="Arial" w:hAnsi="Arial"/>
          <w:sz w:val="18"/>
          <w:szCs w:val="18"/>
          <w:color w:val="auto"/>
        </w:rPr>
        <w:t>consists of share-based compensation related to the Executive Chairman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 including the impact of forfeiture. The Executive Chairman Long-Term Performance Award was forfeited in the prior year as a result of the Company’s Executive Chairman transitioning to a non-employee director role on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income, net consists primarily of interest income from our short-term investments and cash deposits, impairment of financial instruments, and realized foreign currency gains and losses.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March 31,</w:t>
            </w:r>
          </w:p>
        </w:tc>
      </w:tr>
      <w:tr>
        <w:trPr>
          <w:trHeight w:val="185"/>
        </w:trPr>
        <w:tc>
          <w:tcPr>
            <w:tcW w:w="78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226"/>
        </w:trPr>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117,968</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Costs of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33,807</w:t>
            </w:r>
          </w:p>
        </w:tc>
        <w:tc>
          <w:tcPr>
            <w:tcW w:w="100" w:type="dxa"/>
            <w:vAlign w:val="bottom"/>
            <w:tcBorders>
              <w:bottom w:val="single" w:sz="8" w:color="CCEEFF"/>
            </w:tcBorders>
          </w:tcPr>
          <w:p>
            <w:pPr>
              <w:spacing w:after="0"/>
              <w:rPr>
                <w:sz w:val="19"/>
                <w:szCs w:val="19"/>
                <w:color w:val="auto"/>
              </w:rPr>
            </w:pP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84,161</w:t>
            </w:r>
          </w:p>
        </w:tc>
        <w:tc>
          <w:tcPr>
            <w:tcW w:w="10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94,990</w:t>
            </w:r>
          </w:p>
        </w:tc>
        <w:tc>
          <w:tcPr>
            <w:tcW w:w="10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CEEFF"/>
          </w:tcPr>
          <w:p>
            <w:pPr>
              <w:spacing w:after="0"/>
              <w:rPr>
                <w:sz w:val="19"/>
                <w:szCs w:val="19"/>
                <w:color w:val="auto"/>
              </w:rPr>
            </w:pPr>
          </w:p>
        </w:tc>
      </w:tr>
      <w:tr>
        <w:trPr>
          <w:trHeight w:val="229"/>
        </w:trPr>
        <w:tc>
          <w:tcPr>
            <w:tcW w:w="7860" w:type="dxa"/>
            <w:vAlign w:val="bottom"/>
            <w:gridSpan w:val="2"/>
          </w:tcPr>
          <w:p>
            <w:pPr>
              <w:ind w:left="1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19"/>
                <w:szCs w:val="19"/>
                <w:color w:val="auto"/>
              </w:rPr>
            </w:pPr>
          </w:p>
        </w:tc>
      </w:tr>
      <w:tr>
        <w:trPr>
          <w:trHeight w:val="223"/>
        </w:trPr>
        <w:tc>
          <w:tcPr>
            <w:tcW w:w="78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134,013</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(49,852)</w:t>
            </w:r>
          </w:p>
        </w:tc>
        <w:tc>
          <w:tcPr>
            <w:tcW w:w="10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Loss before income tax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(35,926)</w:t>
            </w:r>
          </w:p>
        </w:tc>
        <w:tc>
          <w:tcPr>
            <w:tcW w:w="100" w:type="dxa"/>
            <w:vAlign w:val="bottom"/>
          </w:tcPr>
          <w:p>
            <w:pPr>
              <w:spacing w:after="0"/>
              <w:rPr>
                <w:sz w:val="19"/>
                <w:szCs w:val="19"/>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(36,060)</w:t>
            </w:r>
          </w:p>
        </w:tc>
        <w:tc>
          <w:tcPr>
            <w:tcW w:w="100" w:type="dxa"/>
            <w:vAlign w:val="bottom"/>
          </w:tcPr>
          <w:p>
            <w:pPr>
              <w:spacing w:after="0"/>
              <w:rPr>
                <w:sz w:val="19"/>
                <w:szCs w:val="19"/>
                <w:color w:val="auto"/>
              </w:rPr>
            </w:pPr>
          </w:p>
        </w:tc>
      </w:tr>
      <w:tr>
        <w:trPr>
          <w:trHeight w:val="21"/>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Months Ended March 31, 2025 and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5"/>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5"/>
        </w:trPr>
        <w:tc>
          <w:tcPr>
            <w:tcW w:w="49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98"/>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600" w:type="dxa"/>
            <w:vAlign w:val="bottom"/>
          </w:tcPr>
          <w:p>
            <w:pPr>
              <w:jc w:val="right"/>
              <w:ind w:right="415"/>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Total platform services,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131,867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113,935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17,932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services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4,033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Total net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139,073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117,968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Processing Volume (TPV) (in millions)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84,472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66,666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platform services, net revenue increased by $17.9 million, or 16%, for the three months ended March 31, 2025 compared to the same period in 2024. The overall increase in platform services revenue was primarily driven by a 27% increase in TPV, which was partially offset by unfavorable changes in the mix of our card programs, particularly the growth of programs where we provide processing services but very little or no program management.</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services revenue increased $ 3.2 million, or 79%, in the three months ended March 31, 2025 compared to the same period in 2024. This growth was driven by a rise in card-related fulfillment, which included both one-time card replacements and increased customer card shipments compared to the same period in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TPV was driven by growth across all our major verticals, particularly financial services, with PxM customers outperforming MxM customers. The growth in TPV for our top five customers, as determined by their individual processing volume in each respective period, was 18% in the three months ended March 31, 2025 compared to the same period in 2024, while TPV from all other customers, as a group, grew by 64% in the three months ended March 31, 2025 compared to the same period in 2024. Note that the top five customers may differ between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and Gross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March 31,</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580" w:type="dxa"/>
            <w:vAlign w:val="bottom"/>
          </w:tcPr>
          <w:p>
            <w:pPr>
              <w:jc w:val="right"/>
              <w:ind w:right="415"/>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26"/>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of revenue:</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40"/>
              <w:spacing w:after="0"/>
              <w:rPr>
                <w:sz w:val="20"/>
                <w:szCs w:val="20"/>
                <w:color w:val="auto"/>
              </w:rPr>
            </w:pPr>
            <w:r>
              <w:rPr>
                <w:rFonts w:ascii="Arial" w:cs="Arial" w:eastAsia="Arial" w:hAnsi="Arial"/>
                <w:sz w:val="18"/>
                <w:szCs w:val="18"/>
                <w:color w:val="auto"/>
              </w:rPr>
              <w:t>Card Network fees,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30,642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27,244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Issuing Bank fees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costs of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98,679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Costs of revenue increased by $ 6.6 million, or 19%, for the three months ended March 31, 2025 compared to the same period in 2024. The increase in costs is attributed to higher Card Network and Issuing Bank fees stemming from the 27% increase in TPV, which was partially offset by higher network incentives earned during the current year. Card Network fees are presented net of monetary incentives from Card Networks for processing volume through the respective Card Networks during the period.</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increases in costs of revenue being less than the increases in net revenue explained above, our gross profit increased by $14.5 million, or 17%, in the three months ended March 31, 2025 compared to the same period in 2024. Gross margin remained flat in the three months ended March 31, 2025 compared to the same period in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March 31,</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6"/>
        </w:trPr>
        <w:tc>
          <w:tcPr>
            <w:tcW w:w="47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6"/>
                <w:szCs w:val="16"/>
                <w:color w:val="auto"/>
              </w:rPr>
            </w:pPr>
          </w:p>
        </w:tc>
        <w:tc>
          <w:tcPr>
            <w:tcW w:w="1560" w:type="dxa"/>
            <w:vAlign w:val="bottom"/>
          </w:tcPr>
          <w:p>
            <w:pPr>
              <w:jc w:val="right"/>
              <w:ind w:right="395"/>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Salaries, bonus, benefits and payroll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60,135</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63,677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(3,542)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25,915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31,313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760" w:type="dxa"/>
            <w:vAlign w:val="bottom"/>
            <w:gridSpan w:val="2"/>
          </w:tcPr>
          <w:p>
            <w:pPr>
              <w:ind w:left="240"/>
              <w:spacing w:after="0"/>
              <w:rPr>
                <w:sz w:val="20"/>
                <w:szCs w:val="20"/>
                <w:color w:val="auto"/>
              </w:rPr>
            </w:pPr>
            <w:r>
              <w:rPr>
                <w:rFonts w:ascii="Arial" w:cs="Arial" w:eastAsia="Arial" w:hAnsi="Arial"/>
                <w:sz w:val="18"/>
                <w:szCs w:val="18"/>
                <w:color w:val="auto"/>
              </w:rPr>
              <w:t>Total compensation and benefits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86,050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94,990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14,811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Professional services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5,695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5,331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Marketing and advertising</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 %</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Other operating expenses</w:t>
            </w:r>
          </w:p>
        </w:tc>
        <w:tc>
          <w:tcPr>
            <w:tcW w:w="38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Executive chairman long-term performance award</w:t>
            </w:r>
          </w:p>
        </w:tc>
        <w:tc>
          <w:tcPr>
            <w:tcW w:w="3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(13,121)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i w:val="1"/>
                <w:iCs w:val="1"/>
                <w:color w:val="auto"/>
              </w:rPr>
              <w:t>— %</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3"/>
        </w:trPr>
        <w:tc>
          <w:tcPr>
            <w:tcW w:w="476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117,217</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134,013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(16,796)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r>
      <w:tr>
        <w:trPr>
          <w:trHeight w:val="224"/>
        </w:trPr>
        <w:tc>
          <w:tcPr>
            <w:tcW w:w="476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rPr>
              <w:t>Percentage of net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bonus, benefits, and payroll taxes decreased by $3.5 million, or 6%, for the three months ended March 31, 2025 compared to the same period in 2024. The decrease was driven by lower postcombination compensation costs to former employees of Power Finance and an increase in salaries, bonus, and benefits costs capitalized for internal-use software development in 2025. Partially offsetting the decrease in salaries, bonus, benefits, and payroll taxes was restructuring and other one-time retention bonus costs associated with the departure of the Company’s CEO that were recognized during the three months ended March 31, 2025 that did not occur in the same period in 2024.</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Share-based compensation decreased by $5.4 million in the three months ended March 31, 2025 compared to the same period in 2024 mainly due to the forfeitures of stock based awards as a result of the Company’s CEO departure during the first quarter of 2025.</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Technology expenses increased by $1.7 million, or 13% for the three months ended March 31, 2025 compared to the same period in 2024. The increase was due to higher licensing and hosting costs to support our continued growth as we implement and support our systems and tools.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Professional services expenses increased by $1.8 million or 47% for the three months ended March 31, 2025 compared to the same period in 2024 due to an increase in legal and consulting fees.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Occupancy expense decreased by $0.2 million or 16% for the three months ended March 31, 2025 compared to the same period in 2024. The decrease is due to the impairment of the right-of-use asset associated with the Company's Oakland office recorded during the fourth quarter of 2024.</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and amortization expense increased by $1.8 million, or 51%, for the three months ended March 31, 2025 compared to the same period in 2024. The increase was primarily due to an increase in the amortization of internally developed software as more projects have been capitalized and placed into service.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Marketing and advertising expenses increased by $0.1 million, or 24% for the three months ended March 31, 2025 compared to the same period in 2024 due to an increase in branding spend.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remained relatively flat for the three months ended March 31, 2025 compared to the same period in 2024.</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Executive chairman long-term performance award decreased by 100% for the three months ended March 31, 2025 compared to the same period in 2024 as the Executive Chairman Long-Term Performance Award was forfeited in the second quarter of 2024 as a result of the Company’s Executive Chairman transitioning to a non-employee director role on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gridSpan w:val="5"/>
          </w:tcPr>
          <w:p>
            <w:pPr>
              <w:ind w:left="300"/>
              <w:spacing w:after="0"/>
              <w:rPr>
                <w:sz w:val="20"/>
                <w:szCs w:val="20"/>
                <w:color w:val="auto"/>
              </w:rPr>
            </w:pPr>
            <w:r>
              <w:rPr>
                <w:rFonts w:ascii="Arial" w:cs="Arial" w:eastAsia="Arial" w:hAnsi="Arial"/>
                <w:sz w:val="13"/>
                <w:szCs w:val="13"/>
                <w:b w:val="1"/>
                <w:bCs w:val="1"/>
                <w:color w:val="auto"/>
              </w:rPr>
              <w:t>Three Months Ended March 31,</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5"/>
        </w:trPr>
        <w:tc>
          <w:tcPr>
            <w:tcW w:w="47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3"/>
                <w:szCs w:val="13"/>
                <w:b w:val="1"/>
                <w:bCs w:val="1"/>
                <w:color w:val="auto"/>
              </w:rPr>
              <w:t>$ Change</w:t>
            </w:r>
          </w:p>
        </w:tc>
        <w:tc>
          <w:tcPr>
            <w:tcW w:w="1560" w:type="dxa"/>
            <w:vAlign w:val="bottom"/>
          </w:tcPr>
          <w:p>
            <w:pPr>
              <w:jc w:val="right"/>
              <w:ind w:right="382"/>
              <w:spacing w:after="0"/>
              <w:rPr>
                <w:sz w:val="20"/>
                <w:szCs w:val="20"/>
                <w:color w:val="auto"/>
              </w:rPr>
            </w:pPr>
            <w:r>
              <w:rPr>
                <w:rFonts w:ascii="Arial" w:cs="Arial" w:eastAsia="Arial" w:hAnsi="Arial"/>
                <w:sz w:val="13"/>
                <w:szCs w:val="13"/>
                <w:b w:val="1"/>
                <w:bCs w:val="1"/>
                <w:color w:val="auto"/>
              </w:rPr>
              <w:t>% Change</w:t>
            </w: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10,513</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13,926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Percentage of net revenue</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net decreased by $3.4 million, or 25%, for the three months ended March 31, 2025 compared to the same period in 2024. The decrease was primarily due to a decrease in interest income earned on our short-term investment portfolio and cash balances as we had smaller portfolio balances and recognized lower average yields during the first quarter of 2025 compared to the same period in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remained relatively flat for the three months ended March 31, 2025 compared to the same period in 2024.</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generated 45% and 49% of our net revenue from our largest customer, Block, during the three months ended March 31, 2025 and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of our non-GAAP measures set forth under “Key Operating Metric and Non-GAAP Financial Measures”. There are a number of limitations related to the use of these non-GAAP measures versus their most directly comparable GAAP measures, including the following:</w:t>
      </w:r>
    </w:p>
    <w:p>
      <w:pPr>
        <w:spacing w:after="0" w:line="71" w:lineRule="exact"/>
        <w:rPr>
          <w:sz w:val="20"/>
          <w:szCs w:val="20"/>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non-GAAP operating expenses differently than how we calculate this measure or not at all; this reduces its usefulness as a comparative measure;</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reconciliation of Net loss to adjusted EBITDA and GAAP operating expenses to non-GAAP operating expenses for the periods presented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85"/>
        </w:trPr>
        <w:tc>
          <w:tcPr>
            <w:tcW w:w="77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92"/>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139,073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117,968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(36,060)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margin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117,217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134,013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(36,060)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25,915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Executive chairman long-term performance award</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40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9,944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(3)</w:t>
            </w:r>
          </w:p>
        </w:tc>
        <w:tc>
          <w:tcPr>
            <w:tcW w:w="40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(13,926)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20,081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9,228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8 %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117,217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134,013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(25,915)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Executive chairman long-term performance award</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40"/>
              <w:spacing w:after="0"/>
              <w:rPr>
                <w:sz w:val="20"/>
                <w:szCs w:val="20"/>
                <w:color w:val="auto"/>
              </w:rPr>
            </w:pPr>
            <w:r>
              <w:rPr>
                <w:rFonts w:ascii="Arial" w:cs="Arial" w:eastAsia="Arial" w:hAnsi="Arial"/>
                <w:sz w:val="18"/>
                <w:szCs w:val="18"/>
                <w:color w:val="auto"/>
              </w:rPr>
              <w:t>Payroll tax expense related to share-based compensation</w:t>
            </w:r>
          </w:p>
        </w:tc>
        <w:tc>
          <w:tcPr>
            <w:tcW w:w="40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Restructuring and other one-time costs </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ind w:left="240"/>
              <w:spacing w:after="0" w:line="230"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(9,944)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operating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78,598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74,933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Prior period amounts related to our Executive Chairman Long-Term Performance Award have been reclassified to conform to the current period presentation.</w:t>
      </w:r>
    </w:p>
    <w:p>
      <w:pPr>
        <w:spacing w:after="0" w:line="55" w:lineRule="exact"/>
        <w:rPr>
          <w:rFonts w:ascii="Arial" w:cs="Arial" w:eastAsia="Arial" w:hAnsi="Arial"/>
          <w:sz w:val="14"/>
          <w:szCs w:val="14"/>
          <w:color w:val="auto"/>
        </w:rPr>
      </w:pPr>
    </w:p>
    <w:p>
      <w:pPr>
        <w:jc w:val="both"/>
        <w:ind w:firstLine="8"/>
        <w:spacing w:after="0" w:line="283" w:lineRule="auto"/>
        <w:tabs>
          <w:tab w:leader="none" w:pos="2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pacing w:after="0" w:line="10" w:lineRule="exact"/>
        <w:rPr>
          <w:rFonts w:ascii="Arial" w:cs="Arial" w:eastAsia="Arial" w:hAnsi="Arial"/>
          <w:sz w:val="14"/>
          <w:szCs w:val="14"/>
          <w:color w:val="auto"/>
        </w:rPr>
      </w:pPr>
    </w:p>
    <w:p>
      <w:pPr>
        <w:ind w:right="20" w:firstLine="8"/>
        <w:spacing w:after="0" w:line="305" w:lineRule="auto"/>
        <w:tabs>
          <w:tab w:leader="none" w:pos="2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Restructuring and other one-time costs include the costs associated with the transition of our CEO and other one-time costs related to retention bonuses provided to other key employees. These bonuses have service requirements and are expensed over the requisite service period.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2025, our principal sources of liquidity included cash, cash equivalents, and short-term investments totaling $988.4 million, with such amounts held for working capital purposes. Our cash equivalents and short-term investments were comprised primarily of bank deposits, money market funds, U.S. treasury bills, U.S. treasury securities, U.S. agency securities, asset-backed securities, commercial paper, certificates of deposit, and corporate debt securities. We have generated significant operating losses as reflected in our accumulated deficit. We expect to continue to incur operating losses for the foreseeable future.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25, 2025, the Company’s Board of Directors authorized an additional share repurchase program of up to $300 million of the Company’s Class A common stock (the “2025 Share Repurchase Program”). Under the 2025 Share Repurchase Program, the Company is authorized to repurchase shares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2025 Share Repurchase Program has no set expiration date. During the three months ended March 31, 2025, the Company repurchased approximately 7.1 million shares for $30.3 million under the 2025 Share Repurchase Program. As of March 31, 2025, $269.7 million remained available for future share repurchases under the 2025 Share Repurchase Program.</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6, 2024, the Company’s Board of Directors unanimously authorized the repurchase of up to $200 million of the Company’s Class A common stock (the "2024 Share Repurchase Program") as the prior program (the "2023 Share Repurchase Program," authorized for $200 million on May 8, 2023) had been exhausted during the first quarter of 2024. Under the 2024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was based on general business and market conditions, and other factors, including legal requirements. During the three months ended March 31, 2025, we repurchased approximately 19.2 million shares for $80.5 million under the 2024 Share Repurchase Program, which exhausted the authorization under the 2024 Share Repurchase Program.</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3, 2023, we acquired all outstanding stock of Power Finance Inc. (“Power Finance”). As part of the terms of the acquisition, we entered into postcombination cash compensation arrangements with certain key acquired employees whereby we shall pay them $85.1 million of cash over a weighted average 2.2 year service period following the acquisition date (subject to forfeiture upon termination). As of March 31, 2025, $4.3 million of the postcombination cash compensation arrangements remained outstanding.</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existing cash and cash equivalents, and our short-term investments will be sufficient to meet our working capital and capital expenditure needs for more than the next 12 months. As of the date of filing this Quarterly Report on Form 10-Q, we have access to and control over all our cash, cash equivalents and short-term investments, except amounts held as restricted cash. Our future capital requirements will depend on many factors, including our planned continuing investment in product development, platform infrastructure, share repurchases, and global expansion. We will use our cash for a variety of needs, including for ongoing investments in our business, potential strategic acquisitions, capital expenditures and investment in our infrastructure, including our non-cancellable purchase commitments with cloud-computing service providers and certain Issuing Banks.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2025, we had $8.5 million in restricted cash which included a deposit held at an Issuing Bank to provide the Issuing Bank collateral in the event that our customers' funds are not deposited at the Issuing Bank in time to settle our customers' transactions with the Card Networks. Restricted cash also includes cash held at a bank to secure our payments under a lease agreement for our office space.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70"/>
        </w:trPr>
        <w:tc>
          <w:tcPr>
            <w:tcW w:w="5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33,502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9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9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980" w:type="dxa"/>
            <w:vAlign w:val="bottom"/>
            <w:vMerge w:val="restart"/>
          </w:tcPr>
          <w:p>
            <w:pPr>
              <w:jc w:val="right"/>
              <w:ind w:right="233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51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6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largest source of cash provided by our operating activities is our net revenue. Our primary uses of cash in our operating activities are for Card Network and Issuing Bank fees, and employee-related compensation. The timing of settlement of certain operating assets and liabilities, including revenue share payments, bonus payments, prepayments made to cloud-computing service providers, settlement receivables and network incentive receivables can affect the amounts reported as Net cash provided by or used in operating activities in the Condensed Consolidated Statement of Cash Flows.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$10.0 million in the three months ended March 31, 2025 compared to cash provided by operating activities of $0.4 million in the same period in 2024. The increase in net cash provided by operating activities during the three months ended March 31, 2025 was largely due to higher gross profit and lower operating expenses, which lowered our net loss period-over-period, and favorable timing of settlements and accounts receivable collections. These benefits were partially offset by the unfavorable timing of accrued expenses and other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cash provided by investing activities consists primarily of maturities of our short-term investments. Net cash used in investing activities consists primarily of purchases of short-term investments, purchases of property and equipment, and capitalization of internal-use software.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investing activities in the three months ended March 31, 2025 was $14.9 million compared to net cash provided by investing activities in the same period in 2024 of $33.5 million. The decrease in net cash provided by investing activities is primarily due to fewer maturities of short-term investments during the three months ended March 31,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cash used in financing activities consists primarily of net payments related to share-based compensation activities and our share repurchase programs.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in financing activities in the three months ended March 31, 2025 was $ 117.0 million compared to $44.5 million in the same period in 2024. The increase in net cash used in financing activities is primarily due to increased payments to repurchase our Class A common stock under the 2024 and 2025 Share Repurchase Programs, partially offset by a decrease in tax withholdings related to net share settlement of share-based compensation awards and cash received from stock option exercises.</w:t>
      </w:r>
    </w:p>
    <w:p>
      <w:pPr>
        <w:spacing w:after="0" w:line="17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Obligations and Other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obligations and other commitments from those disclosed in our 2024 Annual Report.</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about our contractual obligations and other commitments, see Note 9 “Commitments and Contingencies” to our condensed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On an ongoing basis, we evaluate our accounting estimates and assumptions. Our actual results may differ from these estimates under different assumptions or conditions.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to our critical accounting estimates as compared to the critical accounting estimates described in “Management's Discussion and Analysis of Financial Condition and Results of Operations” set forth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operations within the United States and globally, and are exposed to market risks in the ordinary course of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31F20"/>
        </w:rPr>
        <w:t>Information relating to quantitative and qualitative disclosures about these market risks is described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had cash, cash equivalents, and short-term investments totaling $988.4 million as of March 31, 2025. Such amounts included cash</w:t>
      </w:r>
      <w:r>
        <w:rPr>
          <w:rFonts w:ascii="Arial" w:cs="Arial" w:eastAsia="Arial" w:hAnsi="Arial"/>
          <w:sz w:val="18"/>
          <w:szCs w:val="18"/>
          <w:color w:val="auto"/>
        </w:rPr>
        <w:t xml:space="preserve"> </w:t>
      </w:r>
      <w:r>
        <w:rPr>
          <w:rFonts w:ascii="Arial" w:cs="Arial" w:eastAsia="Arial" w:hAnsi="Arial"/>
          <w:sz w:val="18"/>
          <w:szCs w:val="18"/>
          <w:color w:val="231F20"/>
        </w:rPr>
        <w:t>deposits, money market funds, U.S. treasury bills, U.S. treasury securities, commercial paper, certificate of deposits, asset-backed securities and corporate debt securities. The fair value of our cash, cash equivalents, and short-term investments would not be significantly affected by either an increase or decrease in interest rates due to the short-term maturities of the majority of these instruments. Because we classify our short-term investments as “available-for-sale”</w:t>
      </w:r>
      <w:r>
        <w:rPr>
          <w:rFonts w:ascii="Arial" w:cs="Arial" w:eastAsia="Arial" w:hAnsi="Arial"/>
          <w:sz w:val="18"/>
          <w:szCs w:val="18"/>
          <w:color w:val="000000"/>
        </w:rPr>
        <w:t>,</w:t>
      </w:r>
      <w:r>
        <w:rPr>
          <w:rFonts w:ascii="Arial" w:cs="Arial" w:eastAsia="Arial" w:hAnsi="Arial"/>
          <w:sz w:val="18"/>
          <w:szCs w:val="18"/>
          <w:color w:val="231F20"/>
        </w:rPr>
        <w:t xml:space="preserve"> no gains or losses are recognized in the Condensed Consolidated Statement of Operations and Comprehensive Loss due to changes in interest rates unless such securities are sold prior to maturity or declines in fair value are due to credit losses. We have the ability to hold all short-term investments until their maturities. A hypothetical 100 basis point increase or decrease in interest rates would not have a material effect on our financial results or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Foreign Currency Exchange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Most </w:t>
      </w:r>
      <w:r>
        <w:rPr>
          <w:rFonts w:ascii="Arial" w:cs="Arial" w:eastAsia="Arial" w:hAnsi="Arial"/>
          <w:sz w:val="18"/>
          <w:szCs w:val="18"/>
          <w:color w:val="231F20"/>
        </w:rPr>
        <w:t>of our sales and operating expenses are denominated in U.S. dollars, and therefore our results of operations are not currently subject to</w:t>
      </w:r>
      <w:r>
        <w:rPr>
          <w:rFonts w:ascii="Arial" w:cs="Arial" w:eastAsia="Arial" w:hAnsi="Arial"/>
          <w:sz w:val="18"/>
          <w:szCs w:val="18"/>
          <w:color w:val="auto"/>
        </w:rPr>
        <w:t xml:space="preserve"> </w:t>
      </w:r>
      <w:r>
        <w:rPr>
          <w:rFonts w:ascii="Arial" w:cs="Arial" w:eastAsia="Arial" w:hAnsi="Arial"/>
          <w:sz w:val="18"/>
          <w:szCs w:val="18"/>
          <w:color w:val="231F20"/>
        </w:rPr>
        <w:t>significant foreign currency risk. As of March 31, 2025, a hypothetical 10% change in foreign currency exchange rates applicable to our business would not have had a material impact on our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with the participation of our Interim Chief Executive Officer and Chief Financial Officer, has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Based on such evaluation, our management has concluded our disclosure controls and procedures were effective at a reasonable assurance level as of </w:t>
      </w:r>
      <w:r>
        <w:rPr>
          <w:rFonts w:ascii="Arial" w:cs="Arial" w:eastAsia="Arial" w:hAnsi="Arial"/>
          <w:sz w:val="18"/>
          <w:szCs w:val="18"/>
          <w:color w:val="231F20"/>
        </w:rPr>
        <w:t>March 31, 2025</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first quarter of fiscal 2025 that have materially affected, or are reasonably likely to materially affect,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may be subject to legal proceedings and claims arising in the ordinary course of business. We are currently involved in the following matters: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December 9, 2024, a putative securities class action lawsuit, captioned </w:t>
      </w:r>
      <w:r>
        <w:rPr>
          <w:rFonts w:ascii="Arial" w:cs="Arial" w:eastAsia="Arial" w:hAnsi="Arial"/>
          <w:sz w:val="18"/>
          <w:szCs w:val="18"/>
          <w:i w:val="1"/>
          <w:iCs w:val="1"/>
          <w:color w:val="auto"/>
        </w:rPr>
        <w:t>Wai v. Marqeta, Inc., et al.</w:t>
      </w:r>
      <w:r>
        <w:rPr>
          <w:rFonts w:ascii="Arial" w:cs="Arial" w:eastAsia="Arial" w:hAnsi="Arial"/>
          <w:sz w:val="18"/>
          <w:szCs w:val="18"/>
          <w:color w:val="auto"/>
        </w:rPr>
        <w:t>, Case No. 24-cv-08874 (N.D. Cal.), was filed in federal court in the Northern District of California (“Court”) against the Company, its former Chief Executive Officer, and its Chief Financial Officer (“Defendants”) alleging violations of federal securities laws. The lawsuit asserts that Defendants made false or misleading statements relating to the Company’s performance or revenue and gross profit expectations in violation of Sections 10(b) and 20(a) of the Securities Exchange Act of 1934 and Rule 10b-5 promulgated thereunder.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10, 2024, a second putative securities class action lawsuit, captioned </w:t>
      </w:r>
      <w:r>
        <w:rPr>
          <w:rFonts w:ascii="Arial" w:cs="Arial" w:eastAsia="Arial" w:hAnsi="Arial"/>
          <w:sz w:val="18"/>
          <w:szCs w:val="18"/>
          <w:i w:val="1"/>
          <w:iCs w:val="1"/>
          <w:color w:val="auto"/>
        </w:rPr>
        <w:t>Ford v. Marqeta, Inc.</w:t>
      </w:r>
      <w:r>
        <w:rPr>
          <w:rFonts w:ascii="Arial" w:cs="Arial" w:eastAsia="Arial" w:hAnsi="Arial"/>
          <w:sz w:val="18"/>
          <w:szCs w:val="18"/>
          <w:color w:val="auto"/>
        </w:rPr>
        <w:t xml:space="preserve">, et al., Case No. 24-cv-08892 (N.D. Cal.), was filed in the same Court against the same Defendants alleging violations of the same federal securities laws. The second lawsuit asserts similar theories of liability as the first lawsuit. Both lawsuits (collectively, the “Securities Actions”) seek to recover damages on behalf of shareholders who acquired shares of the Company’s common stock during their respective putative class periods. The Securities Actions have been consolidated into one consolidated securities litigation captioned </w:t>
      </w:r>
      <w:r>
        <w:rPr>
          <w:rFonts w:ascii="Arial" w:cs="Arial" w:eastAsia="Arial" w:hAnsi="Arial"/>
          <w:sz w:val="18"/>
          <w:szCs w:val="18"/>
          <w:i w:val="1"/>
          <w:iCs w:val="1"/>
          <w:color w:val="auto"/>
        </w:rPr>
        <w:t>In re Marqeta, Inc. Securities Litigation</w:t>
      </w:r>
      <w:r>
        <w:rPr>
          <w:rFonts w:ascii="Arial" w:cs="Arial" w:eastAsia="Arial" w:hAnsi="Arial"/>
          <w:sz w:val="18"/>
          <w:szCs w:val="18"/>
          <w:color w:val="auto"/>
        </w:rPr>
        <w:t>,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intend to file a motion to dismiss the consolidated amended complaint by May 15, 2025.</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February 4, 2025, a putative shareholder derivative lawsuit, captioned </w:t>
      </w:r>
      <w:r>
        <w:rPr>
          <w:rFonts w:ascii="Arial" w:cs="Arial" w:eastAsia="Arial" w:hAnsi="Arial"/>
          <w:sz w:val="18"/>
          <w:szCs w:val="18"/>
          <w:i w:val="1"/>
          <w:iCs w:val="1"/>
          <w:color w:val="auto"/>
        </w:rPr>
        <w:t>Smith v. Khalaf, et al.</w:t>
      </w:r>
      <w:r>
        <w:rPr>
          <w:rFonts w:ascii="Arial" w:cs="Arial" w:eastAsia="Arial" w:hAnsi="Arial"/>
          <w:sz w:val="18"/>
          <w:szCs w:val="18"/>
          <w:color w:val="auto"/>
        </w:rPr>
        <w:t xml:space="preserve">, Case No. 25-cv-01174 (N.D. Cal.), was filed in the same Court against the Company’s former Chief Executive Officer, its Chief Financial Officer, and its Board of Directors,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Arial" w:cs="Arial" w:eastAsia="Arial" w:hAnsi="Arial"/>
          <w:sz w:val="18"/>
          <w:szCs w:val="18"/>
          <w:i w:val="1"/>
          <w:iCs w:val="1"/>
          <w:color w:val="auto"/>
        </w:rPr>
        <w:t>Ojserkis v. Khalaf, et al.</w:t>
      </w:r>
      <w:r>
        <w:rPr>
          <w:rFonts w:ascii="Arial" w:cs="Arial" w:eastAsia="Arial" w:hAnsi="Arial"/>
          <w:sz w:val="18"/>
          <w:szCs w:val="18"/>
          <w:color w:val="auto"/>
        </w:rPr>
        <w:t xml:space="preserve">, Case No. 25-cv-01883 (N.D. Cal.) and </w:t>
      </w:r>
      <w:r>
        <w:rPr>
          <w:rFonts w:ascii="Arial" w:cs="Arial" w:eastAsia="Arial" w:hAnsi="Arial"/>
          <w:sz w:val="18"/>
          <w:szCs w:val="18"/>
          <w:i w:val="1"/>
          <w:iCs w:val="1"/>
          <w:color w:val="auto"/>
        </w:rPr>
        <w:t>Preciado v. Khalaf, et al.</w:t>
      </w:r>
      <w:r>
        <w:rPr>
          <w:rFonts w:ascii="Arial" w:cs="Arial" w:eastAsia="Arial" w:hAnsi="Arial"/>
          <w:sz w:val="18"/>
          <w:szCs w:val="18"/>
          <w:color w:val="auto"/>
        </w:rPr>
        <w:t>, Case No. 3:25-cv-02100 (N.D. Cal.), were filed on February 21, 2025 and February 27, 2025, respectively.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putative shareholder derivative suits have been consolidated into one lawsuit captioned </w:t>
      </w:r>
      <w:r>
        <w:rPr>
          <w:rFonts w:ascii="Arial" w:cs="Arial" w:eastAsia="Arial" w:hAnsi="Arial"/>
          <w:sz w:val="18"/>
          <w:szCs w:val="18"/>
          <w:i w:val="1"/>
          <w:iCs w:val="1"/>
          <w:color w:val="auto"/>
        </w:rPr>
        <w:t>In re Marqeta, Inc. Derivative Litigation</w:t>
      </w:r>
      <w:r>
        <w:rPr>
          <w:rFonts w:ascii="Arial" w:cs="Arial" w:eastAsia="Arial" w:hAnsi="Arial"/>
          <w:sz w:val="18"/>
          <w:szCs w:val="18"/>
          <w:color w:val="auto"/>
        </w:rPr>
        <w:t>, Case No. 4:25-cv-01174-YGR (N.D. Cal). The court has stayed the consolidated derivative action pending the resolution of motions to dismiss in the consolidated Securities Actions.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Given the inherent uncertainty of litigation, we cannot reasonably estimate the likelihood of an unfavorable outcome or the amount or range of any potential loss.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 addition to the other information set forth in this Quarterly Report on Form 10-Q, our business, financial condition, results of operations, cash flows, future prospects, and the trading price of our Class A common stock can be affected by a number of factors, whether currently known or unknown, including but not limited to those described in Part I, Item 1A of our 2024 Annual Report under the heading "Risk Factors," which are incorporated herein by reference, any one or more of which could, directly or indirectly, materially and adversely affect our business, financial condition, results of operations, cash flows, future prospects, and the trading price of our Class A common stock, or cause them to vary materially from past or anticipated future results. There have been no material changes to our risk factors since the 2024 Annual Report.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relating to the repurchases of our Class A common stock made by us in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2025 (in thousands, except per share amounts):</w:t>
      </w:r>
    </w:p>
    <w:p>
      <w:pPr>
        <w:sectPr>
          <w:pgSz w:w="11900" w:h="16838" w:orient="portrait"/>
          <w:cols w:equalWidth="0" w:num="1">
            <w:col w:w="11240"/>
          </w:cols>
          <w:pgMar w:left="320" w:top="125" w:right="339" w:bottom="1440" w:gutter="0" w:footer="0" w:header="0"/>
        </w:sect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gridSpan w:val="2"/>
            <w:vMerge w:val="restart"/>
          </w:tcPr>
          <w:p>
            <w:pPr>
              <w:ind w:left="1440"/>
              <w:spacing w:after="0"/>
              <w:rPr>
                <w:sz w:val="20"/>
                <w:szCs w:val="20"/>
                <w:color w:val="auto"/>
              </w:rPr>
            </w:pPr>
            <w:r>
              <w:rPr>
                <w:rFonts w:ascii="Arial" w:cs="Arial" w:eastAsia="Arial" w:hAnsi="Arial"/>
                <w:sz w:val="16"/>
                <w:szCs w:val="16"/>
                <w:b w:val="1"/>
                <w:bCs w:val="1"/>
                <w:color w:val="auto"/>
              </w:rPr>
              <w:t>Period</w:t>
            </w:r>
          </w:p>
        </w:tc>
        <w:tc>
          <w:tcPr>
            <w:tcW w:w="1660" w:type="dxa"/>
            <w:vAlign w:val="bottom"/>
          </w:tcPr>
          <w:p>
            <w:pPr>
              <w:jc w:val="right"/>
              <w:ind w:right="285"/>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ind w:right="366"/>
              <w:spacing w:after="0"/>
              <w:rPr>
                <w:sz w:val="20"/>
                <w:szCs w:val="20"/>
                <w:color w:val="auto"/>
              </w:rPr>
            </w:pPr>
            <w:r>
              <w:rPr>
                <w:rFonts w:ascii="Arial" w:cs="Arial" w:eastAsia="Arial" w:hAnsi="Arial"/>
                <w:sz w:val="13"/>
                <w:szCs w:val="13"/>
                <w:b w:val="1"/>
                <w:bCs w:val="1"/>
                <w:color w:val="auto"/>
              </w:rPr>
              <w:t>Average Price</w:t>
            </w:r>
          </w:p>
        </w:tc>
        <w:tc>
          <w:tcPr>
            <w:tcW w:w="0" w:type="dxa"/>
            <w:vAlign w:val="bottom"/>
          </w:tcPr>
          <w:p>
            <w:pPr>
              <w:spacing w:after="0"/>
              <w:rPr>
                <w:sz w:val="1"/>
                <w:szCs w:val="1"/>
                <w:color w:val="auto"/>
              </w:rPr>
            </w:pPr>
          </w:p>
        </w:tc>
      </w:tr>
      <w:tr>
        <w:trPr>
          <w:trHeight w:val="190"/>
        </w:trPr>
        <w:tc>
          <w:tcPr>
            <w:tcW w:w="3460" w:type="dxa"/>
            <w:vAlign w:val="bottom"/>
            <w:gridSpan w:val="2"/>
            <w:vMerge w:val="continue"/>
          </w:tcPr>
          <w:p>
            <w:pPr>
              <w:spacing w:after="0"/>
              <w:rPr>
                <w:sz w:val="16"/>
                <w:szCs w:val="16"/>
                <w:color w:val="auto"/>
              </w:rPr>
            </w:pPr>
          </w:p>
        </w:tc>
        <w:tc>
          <w:tcPr>
            <w:tcW w:w="1660" w:type="dxa"/>
            <w:vAlign w:val="bottom"/>
          </w:tcPr>
          <w:p>
            <w:pPr>
              <w:jc w:val="right"/>
              <w:ind w:right="185"/>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26"/>
              <w:spacing w:after="0"/>
              <w:rPr>
                <w:sz w:val="20"/>
                <w:szCs w:val="20"/>
                <w:color w:val="auto"/>
              </w:rPr>
            </w:pPr>
            <w:r>
              <w:rPr>
                <w:rFonts w:ascii="Arial" w:cs="Arial" w:eastAsia="Arial" w:hAnsi="Arial"/>
                <w:sz w:val="13"/>
                <w:szCs w:val="13"/>
                <w:b w:val="1"/>
                <w:bCs w:val="1"/>
                <w:color w:val="auto"/>
              </w:rPr>
              <w:t>Paid per Share</w:t>
            </w:r>
          </w:p>
        </w:tc>
        <w:tc>
          <w:tcPr>
            <w:tcW w:w="0" w:type="dxa"/>
            <w:vAlign w:val="bottom"/>
          </w:tcPr>
          <w:p>
            <w:pPr>
              <w:spacing w:after="0"/>
              <w:rPr>
                <w:sz w:val="1"/>
                <w:szCs w:val="1"/>
                <w:color w:val="auto"/>
              </w:rPr>
            </w:pPr>
          </w:p>
        </w:tc>
      </w:tr>
      <w:tr>
        <w:trPr>
          <w:trHeight w:val="212"/>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January 1 - 31, 2025</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February 1 - 28, 2025</w:t>
            </w:r>
          </w:p>
        </w:tc>
        <w:tc>
          <w:tcPr>
            <w:tcW w:w="1660" w:type="dxa"/>
            <w:vAlign w:val="bottom"/>
          </w:tcPr>
          <w:p>
            <w:pPr>
              <w:jc w:val="right"/>
              <w:spacing w:after="0"/>
              <w:rPr>
                <w:sz w:val="20"/>
                <w:szCs w:val="20"/>
                <w:color w:val="auto"/>
              </w:rPr>
            </w:pPr>
            <w:r>
              <w:rPr>
                <w:rFonts w:ascii="Arial" w:cs="Arial" w:eastAsia="Arial" w:hAnsi="Arial"/>
                <w:sz w:val="16"/>
                <w:szCs w:val="16"/>
                <w:color w:val="auto"/>
              </w:rPr>
              <w:t>584</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38"/>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March 1 - 31, 2025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25,641</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11517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 Number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ind w:right="49"/>
              <w:spacing w:after="0"/>
              <w:rPr>
                <w:sz w:val="20"/>
                <w:szCs w:val="20"/>
                <w:color w:val="auto"/>
              </w:rPr>
            </w:pPr>
            <w:r>
              <w:rPr>
                <w:rFonts w:ascii="Arial" w:cs="Arial" w:eastAsia="Arial" w:hAnsi="Arial"/>
                <w:sz w:val="13"/>
                <w:szCs w:val="13"/>
                <w:b w:val="1"/>
                <w:bCs w:val="1"/>
                <w:color w:val="auto"/>
                <w:w w:val="96"/>
              </w:rPr>
              <w:t>Approximate Dollar Value of</w:t>
            </w: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97"/>
              </w:rPr>
              <w:t>Shares that May Yet Be</w:t>
            </w:r>
          </w:p>
        </w:tc>
        <w:tc>
          <w:tcPr>
            <w:tcW w:w="0" w:type="dxa"/>
            <w:vAlign w:val="bottom"/>
          </w:tcPr>
          <w:p>
            <w:pPr>
              <w:spacing w:after="0"/>
              <w:rPr>
                <w:sz w:val="1"/>
                <w:szCs w:val="1"/>
                <w:color w:val="auto"/>
              </w:rPr>
            </w:pPr>
          </w:p>
        </w:tc>
      </w:tr>
      <w:tr>
        <w:trPr>
          <w:trHeight w:val="94"/>
        </w:trPr>
        <w:tc>
          <w:tcPr>
            <w:tcW w:w="2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Purchased as Part of Publicly</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60" w:type="dxa"/>
            <w:vAlign w:val="bottom"/>
            <w:vMerge w:val="restart"/>
          </w:tcPr>
          <w:p>
            <w:pPr>
              <w:jc w:val="center"/>
              <w:ind w:right="49"/>
              <w:spacing w:after="0"/>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26"/>
        </w:trPr>
        <w:tc>
          <w:tcPr>
            <w:tcW w:w="204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 xml:space="preserve">Announced Plans or Programs </w:t>
            </w:r>
            <w:r>
              <w:rPr>
                <w:rFonts w:ascii="Arial" w:cs="Arial" w:eastAsia="Arial" w:hAnsi="Arial"/>
                <w:sz w:val="14"/>
                <w:szCs w:val="14"/>
                <w:b w:val="1"/>
                <w:bCs w:val="1"/>
                <w:color w:val="auto"/>
                <w:vertAlign w:val="superscript"/>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center"/>
              <w:ind w:right="49"/>
              <w:spacing w:after="0" w:line="148" w:lineRule="exact"/>
              <w:rPr>
                <w:sz w:val="20"/>
                <w:szCs w:val="20"/>
                <w:color w:val="auto"/>
              </w:rPr>
            </w:pPr>
            <w:r>
              <w:rPr>
                <w:rFonts w:ascii="Arial" w:cs="Arial" w:eastAsia="Arial" w:hAnsi="Arial"/>
                <w:sz w:val="13"/>
                <w:szCs w:val="13"/>
                <w:b w:val="1"/>
                <w:bCs w:val="1"/>
                <w:color w:val="auto"/>
                <w:w w:val="89"/>
              </w:rPr>
              <w:t xml:space="preserve">Programs </w:t>
            </w:r>
            <w:r>
              <w:rPr>
                <w:rFonts w:ascii="Arial" w:cs="Arial" w:eastAsia="Arial" w:hAnsi="Arial"/>
                <w:sz w:val="16"/>
                <w:szCs w:val="16"/>
                <w:b w:val="1"/>
                <w:bCs w:val="1"/>
                <w:color w:val="auto"/>
                <w:w w:val="89"/>
                <w:vertAlign w:val="superscript"/>
              </w:rPr>
              <w:t>(1) (2)</w:t>
            </w:r>
          </w:p>
        </w:tc>
        <w:tc>
          <w:tcPr>
            <w:tcW w:w="0" w:type="dxa"/>
            <w:vAlign w:val="bottom"/>
          </w:tcPr>
          <w:p>
            <w:pPr>
              <w:spacing w:after="0"/>
              <w:rPr>
                <w:sz w:val="1"/>
                <w:szCs w:val="1"/>
                <w:color w:val="auto"/>
              </w:rPr>
            </w:pPr>
          </w:p>
        </w:tc>
      </w:tr>
      <w:tr>
        <w:trPr>
          <w:trHeight w:val="208"/>
        </w:trPr>
        <w:tc>
          <w:tcPr>
            <w:tcW w:w="2040" w:type="dxa"/>
            <w:vAlign w:val="bottom"/>
          </w:tcPr>
          <w:p>
            <w:pPr>
              <w:jc w:val="right"/>
              <w:ind w:right="1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80,529</w:t>
            </w:r>
          </w:p>
        </w:tc>
        <w:tc>
          <w:tcPr>
            <w:tcW w:w="0" w:type="dxa"/>
            <w:vAlign w:val="bottom"/>
          </w:tcPr>
          <w:p>
            <w:pPr>
              <w:spacing w:after="0"/>
              <w:rPr>
                <w:sz w:val="1"/>
                <w:szCs w:val="1"/>
                <w:color w:val="auto"/>
              </w:rPr>
            </w:pPr>
          </w:p>
        </w:tc>
      </w:tr>
      <w:tr>
        <w:trPr>
          <w:trHeight w:val="229"/>
        </w:trPr>
        <w:tc>
          <w:tcPr>
            <w:tcW w:w="2040" w:type="dxa"/>
            <w:vAlign w:val="bottom"/>
          </w:tcPr>
          <w:p>
            <w:pPr>
              <w:jc w:val="right"/>
              <w:ind w:right="12"/>
              <w:spacing w:after="0"/>
              <w:rPr>
                <w:sz w:val="20"/>
                <w:szCs w:val="20"/>
                <w:color w:val="auto"/>
              </w:rPr>
            </w:pPr>
            <w:r>
              <w:rPr>
                <w:rFonts w:ascii="Arial" w:cs="Arial" w:eastAsia="Arial" w:hAnsi="Arial"/>
                <w:sz w:val="16"/>
                <w:szCs w:val="16"/>
                <w:color w:val="auto"/>
              </w:rPr>
              <w:t>584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378,115</w:t>
            </w:r>
          </w:p>
        </w:tc>
        <w:tc>
          <w:tcPr>
            <w:tcW w:w="0" w:type="dxa"/>
            <w:vAlign w:val="bottom"/>
          </w:tcPr>
          <w:p>
            <w:pPr>
              <w:spacing w:after="0"/>
              <w:rPr>
                <w:sz w:val="1"/>
                <w:szCs w:val="1"/>
                <w:color w:val="auto"/>
              </w:rPr>
            </w:pPr>
          </w:p>
        </w:tc>
      </w:tr>
      <w:tr>
        <w:trPr>
          <w:trHeight w:val="238"/>
        </w:trPr>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25,641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9"/>
              <w:spacing w:after="0"/>
              <w:rPr>
                <w:sz w:val="20"/>
                <w:szCs w:val="20"/>
                <w:color w:val="auto"/>
              </w:rPr>
            </w:pPr>
            <w:r>
              <w:rPr>
                <w:rFonts w:ascii="Arial" w:cs="Arial" w:eastAsia="Arial" w:hAnsi="Arial"/>
                <w:sz w:val="16"/>
                <w:szCs w:val="16"/>
                <w:color w:val="auto"/>
              </w:rPr>
              <w:t>269,746</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color w:val="auto"/>
              </w:rPr>
              <w:t>26,225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2">
            <w:col w:w="6920" w:space="100"/>
            <w:col w:w="4220"/>
          </w:cols>
          <w:pgMar w:left="320" w:top="125" w:right="339" w:bottom="1440" w:gutter="0" w:footer="0" w:header="0"/>
          <w:type w:val="continuous"/>
        </w:sectPr>
      </w:pPr>
    </w:p>
    <w:p>
      <w:pPr>
        <w:jc w:val="both"/>
        <w:ind w:firstLine="8"/>
        <w:spacing w:after="0" w:line="294"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On May 6, 2024, the Company’s Board of Directors authorized a share repurchase program of up to $200 million of the Company’s Class A common stock (the “2024 Share Repurchase Program”). Under the 2024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Repurchases under the 2024 Share Repurchase Program were completed as of March 31, 2025.</w:t>
      </w:r>
    </w:p>
    <w:p>
      <w:pPr>
        <w:spacing w:after="0" w:line="239" w:lineRule="exact"/>
        <w:rPr>
          <w:rFonts w:ascii="Arial" w:cs="Arial" w:eastAsia="Arial" w:hAnsi="Arial"/>
          <w:sz w:val="16"/>
          <w:szCs w:val="16"/>
          <w:color w:val="auto"/>
          <w:vertAlign w:val="superscript"/>
        </w:rPr>
      </w:pPr>
    </w:p>
    <w:p>
      <w:pPr>
        <w:jc w:val="both"/>
        <w:ind w:firstLine="8"/>
        <w:spacing w:after="0" w:line="386" w:lineRule="auto"/>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On February 25, 2025, the Company’s Board of Directors authorized an additional share repurchase program of up to $300 million of the Company’s Class A common stock (the “2025 Share Repurchase Program”). Under the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2025 Share Repurchase Program has no set expiration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117" w:lineRule="exact"/>
        <w:rPr>
          <w:sz w:val="20"/>
          <w:szCs w:val="20"/>
          <w:color w:val="auto"/>
        </w:rPr>
      </w:pPr>
    </w:p>
    <w:p>
      <w:pPr>
        <w:ind w:firstLine="8"/>
        <w:spacing w:after="0" w:line="287" w:lineRule="auto"/>
        <w:tabs>
          <w:tab w:leader="none" w:pos="2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our last fiscal quarter, no director or officer, as defined in Rule 16a-1(f) of the Exchange Act, adopted or terminated a “Rule 10b5-1 trading arrangement” or a “non-Rule 10b5-1 trading arrangement,” each as defined in Item 408 of Regulation S-K.</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herewith or incorporated by reference herein:</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left="517"/>
              <w:spacing w:after="0"/>
              <w:rPr>
                <w:sz w:val="20"/>
                <w:szCs w:val="20"/>
                <w:color w:val="auto"/>
              </w:rPr>
            </w:pPr>
            <w:r>
              <w:rPr>
                <w:rFonts w:ascii="Arial" w:cs="Arial" w:eastAsia="Arial" w:hAnsi="Arial"/>
                <w:sz w:val="13"/>
                <w:szCs w:val="13"/>
                <w:b w:val="1"/>
                <w:bCs w:val="1"/>
                <w:color w:val="auto"/>
                <w:w w:val="97"/>
              </w:rPr>
              <w:t>Incorporated by Reference</w:t>
            </w:r>
          </w:p>
        </w:tc>
        <w:tc>
          <w:tcPr>
            <w:tcW w:w="1160" w:type="dxa"/>
            <w:vAlign w:val="bottom"/>
            <w:tcBorders>
              <w:bottom w:val="single" w:sz="8" w:color="auto"/>
            </w:tcBorders>
          </w:tcPr>
          <w:p>
            <w:pPr>
              <w:spacing w:after="0"/>
              <w:rPr>
                <w:sz w:val="15"/>
                <w:szCs w:val="15"/>
                <w:color w:val="auto"/>
              </w:rPr>
            </w:pPr>
          </w:p>
        </w:tc>
      </w:tr>
      <w:tr>
        <w:trPr>
          <w:trHeight w:val="172"/>
        </w:trPr>
        <w:tc>
          <w:tcPr>
            <w:tcW w:w="88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20" w:type="dxa"/>
            <w:vAlign w:val="bottom"/>
            <w:gridSpan w:val="7"/>
          </w:tcPr>
          <w:p>
            <w:pPr>
              <w:ind w:left="380"/>
              <w:spacing w:after="0"/>
              <w:rPr>
                <w:sz w:val="20"/>
                <w:szCs w:val="20"/>
                <w:color w:val="auto"/>
              </w:rPr>
            </w:pPr>
            <w:r>
              <w:rPr>
                <w:rFonts w:ascii="Arial" w:cs="Arial" w:eastAsia="Arial" w:hAnsi="Arial"/>
                <w:sz w:val="13"/>
                <w:szCs w:val="13"/>
                <w:b w:val="1"/>
                <w:bCs w:val="1"/>
                <w:color w:val="auto"/>
              </w:rPr>
              <w:t>Description</w:t>
            </w:r>
          </w:p>
        </w:tc>
        <w:tc>
          <w:tcPr>
            <w:tcW w:w="580" w:type="dxa"/>
            <w:vAlign w:val="bottom"/>
            <w:gridSpan w:val="2"/>
          </w:tcPr>
          <w:p>
            <w:pPr>
              <w:ind w:left="100"/>
              <w:spacing w:after="0"/>
              <w:rPr>
                <w:sz w:val="20"/>
                <w:szCs w:val="20"/>
                <w:color w:val="auto"/>
              </w:rPr>
            </w:pPr>
            <w:r>
              <w:rPr>
                <w:rFonts w:ascii="Arial" w:cs="Arial" w:eastAsia="Arial" w:hAnsi="Arial"/>
                <w:sz w:val="13"/>
                <w:szCs w:val="13"/>
                <w:b w:val="1"/>
                <w:bCs w:val="1"/>
                <w:color w:val="auto"/>
              </w:rPr>
              <w:t>Form</w:t>
            </w:r>
          </w:p>
        </w:tc>
        <w:tc>
          <w:tcPr>
            <w:tcW w:w="1020" w:type="dxa"/>
            <w:vAlign w:val="bottom"/>
            <w:gridSpan w:val="2"/>
          </w:tcPr>
          <w:p>
            <w:pPr>
              <w:ind w:left="240"/>
              <w:spacing w:after="0"/>
              <w:rPr>
                <w:sz w:val="20"/>
                <w:szCs w:val="20"/>
                <w:color w:val="auto"/>
              </w:rPr>
            </w:pPr>
            <w:r>
              <w:rPr>
                <w:rFonts w:ascii="Arial" w:cs="Arial" w:eastAsia="Arial" w:hAnsi="Arial"/>
                <w:sz w:val="13"/>
                <w:szCs w:val="13"/>
                <w:b w:val="1"/>
                <w:bCs w:val="1"/>
                <w:color w:val="auto"/>
              </w:rPr>
              <w:t>File No.</w:t>
            </w:r>
          </w:p>
        </w:tc>
        <w:tc>
          <w:tcPr>
            <w:tcW w:w="13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7"/>
              </w:rPr>
              <w:t>Exhibit No.</w:t>
            </w:r>
          </w:p>
        </w:tc>
        <w:tc>
          <w:tcPr>
            <w:tcW w:w="1160" w:type="dxa"/>
            <w:vAlign w:val="bottom"/>
          </w:tcPr>
          <w:p>
            <w:pPr>
              <w:ind w:left="80"/>
              <w:spacing w:after="0"/>
              <w:rPr>
                <w:sz w:val="20"/>
                <w:szCs w:val="20"/>
                <w:color w:val="auto"/>
              </w:rPr>
            </w:pPr>
            <w:r>
              <w:rPr>
                <w:rFonts w:ascii="Arial" w:cs="Arial" w:eastAsia="Arial" w:hAnsi="Arial"/>
                <w:sz w:val="13"/>
                <w:szCs w:val="13"/>
                <w:b w:val="1"/>
                <w:bCs w:val="1"/>
                <w:color w:val="auto"/>
              </w:rPr>
              <w:t>Filing Date</w:t>
            </w:r>
          </w:p>
        </w:tc>
      </w:tr>
      <w:tr>
        <w:trPr>
          <w:trHeight w:val="146"/>
        </w:trPr>
        <w:tc>
          <w:tcPr>
            <w:tcW w:w="880" w:type="dxa"/>
            <w:vAlign w:val="bottom"/>
          </w:tcPr>
          <w:p>
            <w:pPr>
              <w:jc w:val="center"/>
              <w:ind w:right="149"/>
              <w:spacing w:after="0" w:line="145" w:lineRule="exact"/>
              <w:rPr>
                <w:sz w:val="20"/>
                <w:szCs w:val="20"/>
                <w:color w:val="auto"/>
              </w:rPr>
            </w:pPr>
            <w:r>
              <w:rPr>
                <w:rFonts w:ascii="Arial" w:cs="Arial" w:eastAsia="Arial" w:hAnsi="Arial"/>
                <w:sz w:val="14"/>
                <w:szCs w:val="14"/>
                <w:color w:val="auto"/>
              </w:rPr>
              <w:t>10.1</w:t>
            </w:r>
            <w:r>
              <w:rPr>
                <w:rFonts w:ascii="Arial" w:cs="Arial" w:eastAsia="Arial" w:hAnsi="Arial"/>
                <w:sz w:val="9"/>
                <w:szCs w:val="9"/>
                <w:color w:val="auto"/>
              </w:rPr>
              <w:t>†*</w:t>
            </w:r>
          </w:p>
        </w:tc>
        <w:tc>
          <w:tcPr>
            <w:tcW w:w="6100" w:type="dxa"/>
            <w:vAlign w:val="bottom"/>
            <w:gridSpan w:val="10"/>
          </w:tcPr>
          <w:p>
            <w:pPr>
              <w:spacing w:after="0" w:line="145" w:lineRule="exact"/>
              <w:rPr>
                <w:sz w:val="20"/>
                <w:szCs w:val="20"/>
                <w:color w:val="auto"/>
              </w:rPr>
            </w:pPr>
            <w:r>
              <w:rPr>
                <w:rFonts w:ascii="Arial" w:cs="Arial" w:eastAsia="Arial" w:hAnsi="Arial"/>
                <w:sz w:val="14"/>
                <w:szCs w:val="14"/>
                <w:color w:val="0000FF"/>
              </w:rPr>
              <w:t>Amendment No. 25 to the Master Services Agreement by and between the Registrant and</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128"/>
        </w:trPr>
        <w:tc>
          <w:tcPr>
            <w:tcW w:w="880" w:type="dxa"/>
            <w:vAlign w:val="bottom"/>
          </w:tcPr>
          <w:p>
            <w:pPr>
              <w:spacing w:after="0"/>
              <w:rPr>
                <w:sz w:val="11"/>
                <w:szCs w:val="11"/>
                <w:color w:val="auto"/>
              </w:rPr>
            </w:pPr>
          </w:p>
        </w:tc>
        <w:tc>
          <w:tcPr>
            <w:tcW w:w="574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Block, Inc. dated March 26, 2025.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80" w:type="dxa"/>
            <w:vAlign w:val="bottom"/>
          </w:tcPr>
          <w:p>
            <w:pPr>
              <w:jc w:val="center"/>
              <w:ind w:right="149"/>
              <w:spacing w:after="0"/>
              <w:rPr>
                <w:sz w:val="20"/>
                <w:szCs w:val="20"/>
                <w:color w:val="auto"/>
              </w:rPr>
            </w:pPr>
            <w:r>
              <w:rPr>
                <w:rFonts w:ascii="Arial" w:cs="Arial" w:eastAsia="Arial" w:hAnsi="Arial"/>
                <w:sz w:val="14"/>
                <w:szCs w:val="14"/>
                <w:color w:val="auto"/>
              </w:rPr>
              <w:t>10.2</w:t>
            </w:r>
            <w:r>
              <w:rPr>
                <w:rFonts w:ascii="Arial" w:cs="Arial" w:eastAsia="Arial" w:hAnsi="Arial"/>
                <w:sz w:val="9"/>
                <w:szCs w:val="9"/>
                <w:color w:val="auto"/>
              </w:rPr>
              <w:t>†*</w:t>
            </w:r>
          </w:p>
        </w:tc>
        <w:tc>
          <w:tcPr>
            <w:tcW w:w="6100" w:type="dxa"/>
            <w:vAlign w:val="bottom"/>
            <w:gridSpan w:val="10"/>
          </w:tcPr>
          <w:p>
            <w:pPr>
              <w:spacing w:after="0"/>
              <w:rPr>
                <w:sz w:val="20"/>
                <w:szCs w:val="20"/>
                <w:color w:val="auto"/>
              </w:rPr>
            </w:pPr>
            <w:r>
              <w:rPr>
                <w:rFonts w:ascii="Arial" w:cs="Arial" w:eastAsia="Arial" w:hAnsi="Arial"/>
                <w:sz w:val="14"/>
                <w:szCs w:val="14"/>
                <w:color w:val="0000FF"/>
              </w:rPr>
              <w:t>Amendment No. 24 to the Master Services Agreement by and between the Registrant and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28"/>
        </w:trPr>
        <w:tc>
          <w:tcPr>
            <w:tcW w:w="880" w:type="dxa"/>
            <w:vAlign w:val="bottom"/>
          </w:tcPr>
          <w:p>
            <w:pPr>
              <w:spacing w:after="0"/>
              <w:rPr>
                <w:sz w:val="11"/>
                <w:szCs w:val="11"/>
                <w:color w:val="auto"/>
              </w:rPr>
            </w:pPr>
          </w:p>
        </w:tc>
        <w:tc>
          <w:tcPr>
            <w:tcW w:w="5740" w:type="dxa"/>
            <w:vAlign w:val="bottom"/>
            <w:tcBorders>
              <w:top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Block, Inc. dated February 28, 2025.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80" w:type="dxa"/>
            <w:vAlign w:val="bottom"/>
          </w:tcPr>
          <w:p>
            <w:pPr>
              <w:jc w:val="center"/>
              <w:ind w:right="149"/>
              <w:spacing w:after="0"/>
              <w:rPr>
                <w:sz w:val="20"/>
                <w:szCs w:val="20"/>
                <w:color w:val="auto"/>
              </w:rPr>
            </w:pPr>
            <w:r>
              <w:rPr>
                <w:rFonts w:ascii="Arial" w:cs="Arial" w:eastAsia="Arial" w:hAnsi="Arial"/>
                <w:sz w:val="14"/>
                <w:szCs w:val="14"/>
                <w:color w:val="auto"/>
              </w:rPr>
              <w:t>10.3</w:t>
            </w:r>
            <w:r>
              <w:rPr>
                <w:rFonts w:ascii="Arial" w:cs="Arial" w:eastAsia="Arial" w:hAnsi="Arial"/>
                <w:sz w:val="9"/>
                <w:szCs w:val="9"/>
                <w:color w:val="auto"/>
              </w:rPr>
              <w:t>#*</w:t>
            </w:r>
          </w:p>
        </w:tc>
        <w:tc>
          <w:tcPr>
            <w:tcW w:w="600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Separation Agreement by and between Marqeta, Inc. and Simon Khalaf, dated March 1, 2025.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3"/>
        </w:trPr>
        <w:tc>
          <w:tcPr>
            <w:tcW w:w="880" w:type="dxa"/>
            <w:vAlign w:val="bottom"/>
          </w:tcPr>
          <w:p>
            <w:pPr>
              <w:jc w:val="center"/>
              <w:ind w:right="149"/>
              <w:spacing w:after="0"/>
              <w:rPr>
                <w:sz w:val="20"/>
                <w:szCs w:val="20"/>
                <w:color w:val="auto"/>
              </w:rPr>
            </w:pPr>
            <w:r>
              <w:rPr>
                <w:rFonts w:ascii="Arial" w:cs="Arial" w:eastAsia="Arial" w:hAnsi="Arial"/>
                <w:sz w:val="14"/>
                <w:szCs w:val="14"/>
                <w:color w:val="auto"/>
              </w:rPr>
              <w:t>10.4#*</w:t>
            </w:r>
          </w:p>
        </w:tc>
        <w:tc>
          <w:tcPr>
            <w:tcW w:w="6100" w:type="dxa"/>
            <w:vAlign w:val="bottom"/>
            <w:gridSpan w:val="10"/>
          </w:tcPr>
          <w:p>
            <w:pPr>
              <w:spacing w:after="0"/>
              <w:rPr>
                <w:sz w:val="20"/>
                <w:szCs w:val="20"/>
                <w:color w:val="auto"/>
              </w:rPr>
            </w:pPr>
            <w:r>
              <w:rPr>
                <w:rFonts w:ascii="Arial" w:cs="Arial" w:eastAsia="Arial" w:hAnsi="Arial"/>
                <w:sz w:val="14"/>
                <w:szCs w:val="14"/>
                <w:color w:val="0000FF"/>
              </w:rPr>
              <w:t>Form of Employee Retention Letter.</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3"/>
        </w:trPr>
        <w:tc>
          <w:tcPr>
            <w:tcW w:w="880" w:type="dxa"/>
            <w:vAlign w:val="bottom"/>
          </w:tcPr>
          <w:p>
            <w:pPr>
              <w:jc w:val="center"/>
              <w:ind w:right="149"/>
              <w:spacing w:after="0"/>
              <w:rPr>
                <w:sz w:val="20"/>
                <w:szCs w:val="20"/>
                <w:color w:val="auto"/>
              </w:rPr>
            </w:pPr>
            <w:r>
              <w:rPr>
                <w:rFonts w:ascii="Arial" w:cs="Arial" w:eastAsia="Arial" w:hAnsi="Arial"/>
                <w:sz w:val="14"/>
                <w:szCs w:val="14"/>
                <w:color w:val="auto"/>
              </w:rPr>
              <w:t>31.1*</w:t>
            </w:r>
          </w:p>
        </w:tc>
        <w:tc>
          <w:tcPr>
            <w:tcW w:w="6100" w:type="dxa"/>
            <w:vAlign w:val="bottom"/>
            <w:gridSpan w:val="10"/>
          </w:tcPr>
          <w:p>
            <w:pPr>
              <w:spacing w:after="0"/>
              <w:rPr>
                <w:sz w:val="20"/>
                <w:szCs w:val="20"/>
                <w:color w:val="auto"/>
              </w:rPr>
            </w:pPr>
            <w:r>
              <w:rPr>
                <w:rFonts w:ascii="Arial" w:cs="Arial" w:eastAsia="Arial" w:hAnsi="Arial"/>
                <w:sz w:val="14"/>
                <w:szCs w:val="14"/>
                <w:color w:val="0000FF"/>
              </w:rPr>
              <w:t>Certification of the Principal Executive and Financial Officer, pursuant to Rules 13a-14(a) and</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28"/>
        </w:trPr>
        <w:tc>
          <w:tcPr>
            <w:tcW w:w="880" w:type="dxa"/>
            <w:vAlign w:val="bottom"/>
          </w:tcPr>
          <w:p>
            <w:pPr>
              <w:spacing w:after="0"/>
              <w:rPr>
                <w:sz w:val="11"/>
                <w:szCs w:val="11"/>
                <w:color w:val="auto"/>
              </w:rPr>
            </w:pPr>
          </w:p>
        </w:tc>
        <w:tc>
          <w:tcPr>
            <w:tcW w:w="592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15d-14(a) under the Exchange Act, as adopted pursuant to Section 302 of the Sarbanes-</w:t>
            </w:r>
          </w:p>
        </w:tc>
        <w:tc>
          <w:tcPr>
            <w:tcW w:w="18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29"/>
        </w:trPr>
        <w:tc>
          <w:tcPr>
            <w:tcW w:w="880" w:type="dxa"/>
            <w:vAlign w:val="bottom"/>
          </w:tcPr>
          <w:p>
            <w:pPr>
              <w:spacing w:after="0"/>
              <w:rPr>
                <w:sz w:val="11"/>
                <w:szCs w:val="11"/>
                <w:color w:val="auto"/>
              </w:rPr>
            </w:pPr>
          </w:p>
        </w:tc>
        <w:tc>
          <w:tcPr>
            <w:tcW w:w="566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Oxley Act of 2002.</w:t>
            </w:r>
          </w:p>
        </w:tc>
        <w:tc>
          <w:tcPr>
            <w:tcW w:w="100" w:type="dxa"/>
            <w:vAlign w:val="bottom"/>
            <w:gridSpan w:val="2"/>
          </w:tcPr>
          <w:p>
            <w:pPr>
              <w:spacing w:after="0"/>
              <w:rPr>
                <w:sz w:val="11"/>
                <w:szCs w:val="11"/>
                <w:color w:val="auto"/>
              </w:rPr>
            </w:pPr>
          </w:p>
        </w:tc>
        <w:tc>
          <w:tcPr>
            <w:tcW w:w="340" w:type="dxa"/>
            <w:vAlign w:val="bottom"/>
            <w:gridSpan w:val="3"/>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880" w:type="dxa"/>
            <w:vAlign w:val="bottom"/>
          </w:tcPr>
          <w:p>
            <w:pPr>
              <w:jc w:val="center"/>
              <w:ind w:right="149"/>
              <w:spacing w:after="0"/>
              <w:rPr>
                <w:sz w:val="20"/>
                <w:szCs w:val="20"/>
                <w:color w:val="auto"/>
              </w:rPr>
            </w:pPr>
            <w:r>
              <w:rPr>
                <w:rFonts w:ascii="Arial" w:cs="Arial" w:eastAsia="Arial" w:hAnsi="Arial"/>
                <w:sz w:val="14"/>
                <w:szCs w:val="14"/>
                <w:color w:val="auto"/>
                <w:w w:val="99"/>
              </w:rPr>
              <w:t>32.1**</w:t>
            </w:r>
          </w:p>
        </w:tc>
        <w:tc>
          <w:tcPr>
            <w:tcW w:w="6100" w:type="dxa"/>
            <w:vAlign w:val="bottom"/>
            <w:gridSpan w:val="10"/>
          </w:tcPr>
          <w:p>
            <w:pPr>
              <w:spacing w:after="0"/>
              <w:rPr>
                <w:sz w:val="20"/>
                <w:szCs w:val="20"/>
                <w:color w:val="auto"/>
              </w:rPr>
            </w:pPr>
            <w:r>
              <w:rPr>
                <w:rFonts w:ascii="Arial" w:cs="Arial" w:eastAsia="Arial" w:hAnsi="Arial"/>
                <w:sz w:val="14"/>
                <w:szCs w:val="14"/>
                <w:color w:val="0000FF"/>
              </w:rPr>
              <w:t>Certification of the Principal Executive and Financial Officer, pursuant to 18 U.S.C. Section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29"/>
        </w:trPr>
        <w:tc>
          <w:tcPr>
            <w:tcW w:w="880" w:type="dxa"/>
            <w:vAlign w:val="bottom"/>
          </w:tcPr>
          <w:p>
            <w:pPr>
              <w:spacing w:after="0"/>
              <w:rPr>
                <w:sz w:val="11"/>
                <w:szCs w:val="11"/>
                <w:color w:val="auto"/>
              </w:rPr>
            </w:pPr>
          </w:p>
        </w:tc>
        <w:tc>
          <w:tcPr>
            <w:tcW w:w="496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1350, as adopted pursuant to Section 906 of the Sarbanes-Oxley Act of 2002.</w:t>
            </w:r>
          </w:p>
        </w:tc>
        <w:tc>
          <w:tcPr>
            <w:tcW w:w="800" w:type="dxa"/>
            <w:vAlign w:val="bottom"/>
            <w:tcBorders>
              <w:top w:val="single" w:sz="8" w:color="0000FF"/>
            </w:tcBorders>
            <w:gridSpan w:val="3"/>
          </w:tcPr>
          <w:p>
            <w:pPr>
              <w:spacing w:after="0"/>
              <w:rPr>
                <w:sz w:val="11"/>
                <w:szCs w:val="11"/>
                <w:color w:val="auto"/>
              </w:rPr>
            </w:pPr>
          </w:p>
        </w:tc>
        <w:tc>
          <w:tcPr>
            <w:tcW w:w="340" w:type="dxa"/>
            <w:vAlign w:val="bottom"/>
            <w:gridSpan w:val="3"/>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r>
    </w:tbl>
    <w:p>
      <w:pPr>
        <w:spacing w:after="0" w:line="1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80"/>
        <w:spacing w:after="0"/>
        <w:rPr>
          <w:sz w:val="20"/>
          <w:szCs w:val="20"/>
          <w:color w:val="auto"/>
        </w:rPr>
      </w:pPr>
      <w:r>
        <w:rPr>
          <w:rFonts w:ascii="Arial" w:cs="Arial" w:eastAsia="Arial" w:hAnsi="Arial"/>
          <w:sz w:val="14"/>
          <w:szCs w:val="14"/>
          <w:color w:val="auto"/>
        </w:rPr>
        <w:t>101.INS*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101.SCH*</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101.CAL*</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101.DEF*</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101.LAB*</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101.PRE*</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104*</w:t>
      </w:r>
    </w:p>
    <w:p>
      <w:pPr>
        <w:spacing w:after="0" w:line="82"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Inline XBRL Instance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Schema Document.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Calculation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Definition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Labels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Certain confidential information contained in this exhibit has been omitted because it is both (i)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not material and (ii) is the type that the Registrant treats as private or confidential.</w:t>
      </w:r>
    </w:p>
    <w:p>
      <w:pPr>
        <w:spacing w:after="0" w:line="15" w:lineRule="exact"/>
        <w:rPr>
          <w:sz w:val="20"/>
          <w:szCs w:val="20"/>
          <w:color w:val="auto"/>
        </w:rPr>
      </w:pPr>
    </w:p>
    <w:p>
      <w:pPr>
        <w:sectPr>
          <w:pgSz w:w="11900" w:h="16838" w:orient="portrait"/>
          <w:cols w:equalWidth="0" w:num="2">
            <w:col w:w="780" w:space="240"/>
            <w:col w:w="10220"/>
          </w:cols>
          <w:pgMar w:left="320" w:top="125" w:right="339" w:bottom="1440" w:gutter="0" w:footer="0" w:header="0"/>
          <w:type w:val="continuous"/>
        </w:sectPr>
      </w:pPr>
    </w:p>
    <w:p>
      <w:pPr>
        <w:ind w:left="1020" w:hanging="593"/>
        <w:spacing w:after="0"/>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agreement.</w:t>
      </w:r>
    </w:p>
    <w:p>
      <w:pPr>
        <w:spacing w:after="0" w:line="40" w:lineRule="exact"/>
        <w:rPr>
          <w:sz w:val="20"/>
          <w:szCs w:val="20"/>
          <w:color w:val="auto"/>
        </w:rPr>
      </w:pPr>
    </w:p>
    <w:p>
      <w:pPr>
        <w:ind w:left="1020" w:hanging="581"/>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1020" w:right="4260" w:hanging="609"/>
        <w:spacing w:after="0" w:line="229" w:lineRule="auto"/>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SIGNATURES</w:t>
      </w:r>
    </w:p>
    <w:p>
      <w:pPr>
        <w:spacing w:after="0" w:line="2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200" w:type="dxa"/>
            <w:vAlign w:val="bottom"/>
          </w:tcPr>
          <w:p>
            <w:pPr>
              <w:spacing w:after="0"/>
              <w:rPr>
                <w:sz w:val="19"/>
                <w:szCs w:val="19"/>
                <w:color w:val="auto"/>
              </w:rPr>
            </w:pPr>
          </w:p>
        </w:tc>
        <w:tc>
          <w:tcPr>
            <w:tcW w:w="8020" w:type="dxa"/>
            <w:vAlign w:val="bottom"/>
            <w:gridSpan w:val="2"/>
          </w:tcPr>
          <w:p>
            <w:pPr>
              <w:ind w:left="1860"/>
              <w:spacing w:after="0"/>
              <w:rPr>
                <w:sz w:val="20"/>
                <w:szCs w:val="20"/>
                <w:color w:val="auto"/>
              </w:rPr>
            </w:pPr>
            <w:r>
              <w:rPr>
                <w:rFonts w:ascii="Arial" w:cs="Arial" w:eastAsia="Arial" w:hAnsi="Arial"/>
                <w:sz w:val="16"/>
                <w:szCs w:val="16"/>
                <w:b w:val="1"/>
                <w:bCs w:val="1"/>
                <w:color w:val="auto"/>
              </w:rPr>
              <w:t>MARQETA, INC.</w:t>
            </w:r>
          </w:p>
        </w:tc>
      </w:tr>
      <w:tr>
        <w:trPr>
          <w:trHeight w:val="480"/>
        </w:trPr>
        <w:tc>
          <w:tcPr>
            <w:tcW w:w="3200" w:type="dxa"/>
            <w:vAlign w:val="bottom"/>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7, 2025</w:t>
            </w:r>
          </w:p>
        </w:tc>
        <w:tc>
          <w:tcPr>
            <w:tcW w:w="3040" w:type="dxa"/>
            <w:vAlign w:val="bottom"/>
          </w:tcPr>
          <w:p>
            <w:pPr>
              <w:ind w:left="1860"/>
              <w:spacing w:after="0"/>
              <w:rPr>
                <w:sz w:val="20"/>
                <w:szCs w:val="20"/>
                <w:color w:val="auto"/>
              </w:rPr>
            </w:pPr>
            <w:r>
              <w:rPr>
                <w:rFonts w:ascii="Arial" w:cs="Arial" w:eastAsia="Arial" w:hAnsi="Arial"/>
                <w:sz w:val="16"/>
                <w:szCs w:val="16"/>
                <w:b w:val="1"/>
                <w:bCs w:val="1"/>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Michael (Mike) Milotich</w:t>
            </w:r>
          </w:p>
        </w:tc>
      </w:tr>
      <w:tr>
        <w:trPr>
          <w:trHeight w:val="209"/>
        </w:trPr>
        <w:tc>
          <w:tcPr>
            <w:tcW w:w="3200" w:type="dxa"/>
            <w:vAlign w:val="bottom"/>
          </w:tcPr>
          <w:p>
            <w:pPr>
              <w:spacing w:after="0"/>
              <w:rPr>
                <w:sz w:val="18"/>
                <w:szCs w:val="18"/>
                <w:color w:val="auto"/>
              </w:rPr>
            </w:pPr>
          </w:p>
        </w:tc>
        <w:tc>
          <w:tcPr>
            <w:tcW w:w="3040" w:type="dxa"/>
            <w:vAlign w:val="bottom"/>
          </w:tcPr>
          <w:p>
            <w:pPr>
              <w:ind w:left="1860"/>
              <w:spacing w:after="0"/>
              <w:rPr>
                <w:sz w:val="20"/>
                <w:szCs w:val="20"/>
                <w:color w:val="auto"/>
              </w:rPr>
            </w:pPr>
            <w:r>
              <w:rPr>
                <w:rFonts w:ascii="Arial" w:cs="Arial" w:eastAsia="Arial" w:hAnsi="Arial"/>
                <w:sz w:val="16"/>
                <w:szCs w:val="16"/>
                <w:b w:val="1"/>
                <w:bCs w:val="1"/>
                <w:color w:val="auto"/>
              </w:rPr>
              <w:t>Name:</w:t>
            </w:r>
          </w:p>
        </w:tc>
        <w:tc>
          <w:tcPr>
            <w:tcW w:w="4980" w:type="dxa"/>
            <w:vAlign w:val="bottom"/>
          </w:tcPr>
          <w:p>
            <w:pPr>
              <w:ind w:left="20"/>
              <w:spacing w:after="0"/>
              <w:rPr>
                <w:sz w:val="20"/>
                <w:szCs w:val="20"/>
                <w:color w:val="auto"/>
              </w:rPr>
            </w:pPr>
            <w:r>
              <w:rPr>
                <w:rFonts w:ascii="Arial" w:cs="Arial" w:eastAsia="Arial" w:hAnsi="Arial"/>
                <w:sz w:val="16"/>
                <w:szCs w:val="16"/>
                <w:color w:val="auto"/>
              </w:rPr>
              <w:t>Michael (Mike) Milotich</w:t>
            </w:r>
          </w:p>
        </w:tc>
      </w:tr>
      <w:tr>
        <w:trPr>
          <w:trHeight w:val="175"/>
        </w:trPr>
        <w:tc>
          <w:tcPr>
            <w:tcW w:w="32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980" w:type="dxa"/>
            <w:vAlign w:val="bottom"/>
          </w:tcPr>
          <w:p>
            <w:pPr>
              <w:ind w:left="20"/>
              <w:spacing w:after="0" w:line="175" w:lineRule="exact"/>
              <w:rPr>
                <w:sz w:val="20"/>
                <w:szCs w:val="20"/>
                <w:color w:val="auto"/>
              </w:rPr>
            </w:pPr>
            <w:r>
              <w:rPr>
                <w:rFonts w:ascii="Arial" w:cs="Arial" w:eastAsia="Arial" w:hAnsi="Arial"/>
                <w:sz w:val="16"/>
                <w:szCs w:val="16"/>
                <w:color w:val="auto"/>
              </w:rPr>
              <w:t>Interim Chief Executive Officer &amp; Chief Financial Officer (Principal</w:t>
            </w:r>
          </w:p>
        </w:tc>
      </w:tr>
      <w:tr>
        <w:trPr>
          <w:trHeight w:val="250"/>
        </w:trPr>
        <w:tc>
          <w:tcPr>
            <w:tcW w:w="3200" w:type="dxa"/>
            <w:vAlign w:val="bottom"/>
          </w:tcPr>
          <w:p>
            <w:pPr>
              <w:spacing w:after="0"/>
              <w:rPr>
                <w:sz w:val="21"/>
                <w:szCs w:val="21"/>
                <w:color w:val="auto"/>
              </w:rPr>
            </w:pPr>
          </w:p>
        </w:tc>
        <w:tc>
          <w:tcPr>
            <w:tcW w:w="3040" w:type="dxa"/>
            <w:vAlign w:val="bottom"/>
          </w:tcPr>
          <w:p>
            <w:pPr>
              <w:ind w:left="1860"/>
              <w:spacing w:after="0"/>
              <w:rPr>
                <w:sz w:val="20"/>
                <w:szCs w:val="20"/>
                <w:color w:val="auto"/>
              </w:rPr>
            </w:pPr>
            <w:r>
              <w:rPr>
                <w:rFonts w:ascii="Arial" w:cs="Arial" w:eastAsia="Arial" w:hAnsi="Arial"/>
                <w:sz w:val="16"/>
                <w:szCs w:val="16"/>
                <w:b w:val="1"/>
                <w:bCs w:val="1"/>
                <w:color w:val="auto"/>
              </w:rPr>
              <w:t>Title:</w:t>
            </w:r>
          </w:p>
        </w:tc>
        <w:tc>
          <w:tcPr>
            <w:tcW w:w="4980" w:type="dxa"/>
            <w:vAlign w:val="bottom"/>
          </w:tcPr>
          <w:p>
            <w:pPr>
              <w:ind w:left="20"/>
              <w:spacing w:after="0"/>
              <w:rPr>
                <w:sz w:val="20"/>
                <w:szCs w:val="20"/>
                <w:color w:val="auto"/>
              </w:rPr>
            </w:pPr>
            <w:r>
              <w:rPr>
                <w:rFonts w:ascii="Arial" w:cs="Arial" w:eastAsia="Arial" w:hAnsi="Arial"/>
                <w:sz w:val="16"/>
                <w:szCs w:val="16"/>
                <w:color w:val="auto"/>
              </w:rPr>
              <w:t>Executive,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ind w:left="820" w:right="40" w:hanging="778"/>
        <w:spacing w:after="0" w:line="286" w:lineRule="auto"/>
        <w:rPr>
          <w:sz w:val="20"/>
          <w:szCs w:val="20"/>
          <w:color w:val="auto"/>
        </w:rPr>
      </w:pPr>
      <w:r>
        <w:rPr>
          <w:rFonts w:ascii="Arial" w:cs="Arial" w:eastAsia="Arial" w:hAnsi="Arial"/>
          <w:sz w:val="16"/>
          <w:szCs w:val="16"/>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388"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Exhibit 10.1</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25 TO MASTER SERVICES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25 (“</w:t>
      </w:r>
      <w:r>
        <w:rPr>
          <w:rFonts w:ascii="Arial" w:cs="Arial" w:eastAsia="Arial" w:hAnsi="Arial"/>
          <w:sz w:val="18"/>
          <w:szCs w:val="18"/>
          <w:b w:val="1"/>
          <w:bCs w:val="1"/>
          <w:color w:val="auto"/>
        </w:rPr>
        <w:t>Amendment</w:t>
      </w:r>
      <w:r>
        <w:rPr>
          <w:rFonts w:ascii="Arial" w:cs="Arial" w:eastAsia="Arial" w:hAnsi="Arial"/>
          <w:sz w:val="18"/>
          <w:szCs w:val="18"/>
          <w:color w:val="auto"/>
        </w:rPr>
        <w:t>”) is dated and effective on March 26, 2025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 Block,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 (formerly Square, Inc.), a Delaware corporation, whose principal address is 1455 Market Street Suite 600 San Francisco, CA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w:t>
      </w:r>
      <w:r>
        <w:rPr>
          <w:rFonts w:ascii="Arial" w:cs="Arial" w:eastAsia="Arial" w:hAnsi="Arial"/>
          <w:sz w:val="18"/>
          <w:szCs w:val="18"/>
          <w:color w:val="auto"/>
        </w:rPr>
        <w:t>”) and Marqeta, Inc., a Delaware corporation, whose principal address is 180 Grand Avenue, 6th Floor, Oakland, CA 94612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Marqeta</w:t>
      </w:r>
      <w:r>
        <w:rPr>
          <w:rFonts w:ascii="Arial" w:cs="Arial" w:eastAsia="Arial" w:hAnsi="Arial"/>
          <w:sz w:val="18"/>
          <w:szCs w:val="18"/>
          <w:color w:val="auto"/>
        </w:rPr>
        <w:t>”), and amends the Master Services Agreement between Client and Marqeta dated April 19, 2016, as amended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that are not defined in this Amendment are defined in the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Addition of Defined Term. </w:t>
      </w:r>
      <w:r>
        <w:rPr>
          <w:rFonts w:ascii="Arial" w:cs="Arial" w:eastAsia="Arial" w:hAnsi="Arial"/>
          <w:sz w:val="18"/>
          <w:szCs w:val="18"/>
          <w:color w:val="auto"/>
        </w:rPr>
        <w:t>The following is added as a new defined term to Schedule C to the Agreement:</w:t>
      </w:r>
    </w:p>
    <w:p>
      <w:pPr>
        <w:spacing w:after="0" w:line="225" w:lineRule="exact"/>
        <w:rPr>
          <w:rFonts w:ascii="Arial" w:cs="Arial" w:eastAsia="Arial" w:hAnsi="Arial"/>
          <w:sz w:val="18"/>
          <w:szCs w:val="18"/>
          <w:color w:val="auto"/>
        </w:rPr>
      </w:pPr>
    </w:p>
    <w:p>
      <w:pPr>
        <w:ind w:left="660" w:right="220"/>
        <w:spacing w:after="0" w:line="31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App Program [***] Transactions</w:t>
      </w:r>
      <w:r>
        <w:rPr>
          <w:rFonts w:ascii="Arial" w:cs="Arial" w:eastAsia="Arial" w:hAnsi="Arial"/>
          <w:sz w:val="17"/>
          <w:szCs w:val="17"/>
          <w:color w:val="auto"/>
        </w:rPr>
        <w:t>’ means [***] transactions initiated by a Cash App Program [***] to [***], which are processed by Marqeta as transaction types - [***] and [***], as the same are defined in the applicable Documentation for the Services.</w:t>
      </w:r>
    </w:p>
    <w:p>
      <w:pPr>
        <w:spacing w:after="0" w:line="134" w:lineRule="exact"/>
        <w:rPr>
          <w:rFonts w:ascii="Arial" w:cs="Arial" w:eastAsia="Arial" w:hAnsi="Arial"/>
          <w:sz w:val="18"/>
          <w:szCs w:val="18"/>
          <w:color w:val="auto"/>
        </w:rPr>
      </w:pPr>
    </w:p>
    <w:p>
      <w:pPr>
        <w:ind w:left="660" w:right="240"/>
        <w:spacing w:after="0" w:line="239" w:lineRule="auto"/>
        <w:rPr>
          <w:rFonts w:ascii="Arial" w:cs="Arial" w:eastAsia="Arial" w:hAnsi="Arial"/>
          <w:sz w:val="18"/>
          <w:szCs w:val="18"/>
          <w:color w:val="auto"/>
        </w:rPr>
      </w:pPr>
      <w:r>
        <w:rPr>
          <w:rFonts w:ascii="Times New Roman" w:cs="Times New Roman" w:eastAsia="Times New Roman" w:hAnsi="Times New Roman"/>
          <w:sz w:val="22"/>
          <w:szCs w:val="22"/>
          <w:color w:val="auto"/>
        </w:rPr>
        <w:t>‘</w:t>
      </w:r>
      <w:r>
        <w:rPr>
          <w:rFonts w:ascii="Arial" w:cs="Arial" w:eastAsia="Arial" w:hAnsi="Arial"/>
          <w:sz w:val="17"/>
          <w:szCs w:val="17"/>
          <w:u w:val="single" w:color="auto"/>
          <w:color w:val="auto"/>
        </w:rPr>
        <w:t>[***] Solution</w:t>
      </w:r>
      <w:r>
        <w:rPr>
          <w:rFonts w:ascii="Arial" w:cs="Arial" w:eastAsia="Arial" w:hAnsi="Arial"/>
          <w:sz w:val="17"/>
          <w:szCs w:val="17"/>
          <w:color w:val="auto"/>
        </w:rPr>
        <w:t>’ means Marqeta’s solution that enables Client with an ability to [***] of Card transactions only in circumstances when</w:t>
      </w: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Marqeta [***] in the [***] for Client’s Cash App Program transactions, as more fully described in the applicable Documentation.”</w:t>
      </w:r>
    </w:p>
    <w:p>
      <w:pPr>
        <w:spacing w:after="0" w:line="193" w:lineRule="exact"/>
        <w:rPr>
          <w:rFonts w:ascii="Arial" w:cs="Arial" w:eastAsia="Arial" w:hAnsi="Arial"/>
          <w:sz w:val="18"/>
          <w:szCs w:val="18"/>
          <w:color w:val="auto"/>
        </w:rPr>
      </w:pPr>
    </w:p>
    <w:p>
      <w:pPr>
        <w:ind w:left="660" w:right="180" w:hanging="328"/>
        <w:spacing w:after="0" w:line="277" w:lineRule="auto"/>
        <w:tabs>
          <w:tab w:leader="none" w:pos="648"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 Services. </w:t>
      </w:r>
      <w:r>
        <w:rPr>
          <w:rFonts w:ascii="Arial" w:cs="Arial" w:eastAsia="Arial" w:hAnsi="Arial"/>
          <w:sz w:val="17"/>
          <w:szCs w:val="17"/>
          <w:color w:val="auto"/>
        </w:rPr>
        <w:t>Solely with respect to Client’s Cash App Program, Marqeta will implement [***] Services for Cash App Program [***]</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and Marqeta’s [***] Solution. For purposes of clarity, once the [***] Solution is made available in production for Client’s access and use, Marqeta’s [***] Services will be utilized for the Cash App Program [***] Transactions only in circumstances when Marqeta [***] in the [***] for Client’s Cash App Program transactions In the event that Client would like to utilize the [***] Services for</w:t>
      </w:r>
    </w:p>
    <w:p>
      <w:pPr>
        <w:spacing w:after="0" w:line="2" w:lineRule="exact"/>
        <w:rPr>
          <w:rFonts w:ascii="Arial" w:cs="Arial" w:eastAsia="Arial" w:hAnsi="Arial"/>
          <w:sz w:val="17"/>
          <w:szCs w:val="17"/>
          <w:color w:val="auto"/>
        </w:rPr>
      </w:pPr>
    </w:p>
    <w:p>
      <w:pPr>
        <w:ind w:left="660" w:right="140"/>
        <w:spacing w:after="0" w:line="257" w:lineRule="auto"/>
        <w:rPr>
          <w:rFonts w:ascii="Arial" w:cs="Arial" w:eastAsia="Arial" w:hAnsi="Arial"/>
          <w:sz w:val="17"/>
          <w:szCs w:val="17"/>
          <w:color w:val="auto"/>
        </w:rPr>
      </w:pPr>
      <w:r>
        <w:rPr>
          <w:rFonts w:ascii="Arial" w:cs="Arial" w:eastAsia="Arial" w:hAnsi="Arial"/>
          <w:sz w:val="18"/>
          <w:szCs w:val="18"/>
          <w:color w:val="auto"/>
        </w:rPr>
        <w:t>transactions other than the Cash App Program [***] Transactions or [***] Solution, Client will provide written notice to Marqeta, and Marqeta and Client will cooperate in good faith to enter into an amendment to the Agreement to reflect the terms and conditions, including relevant fees and costs, associated with such use of the [***] for such other transactions. With respect to the Cash App Program [***] Transactions and Marqeta’s [***] solution, the following is added as a new subsection (v) of Section (C) entitled, “Cash App Program Fees,” of Schedule D to the Agreement, which was added to the Agreement as a part of 12th Amendment to the Agreement, dated March 13, 2021, for the Cash App Program:</w:t>
      </w:r>
    </w:p>
    <w:p>
      <w:pPr>
        <w:spacing w:after="0" w:line="182" w:lineRule="exact"/>
        <w:rPr>
          <w:sz w:val="20"/>
          <w:szCs w:val="20"/>
          <w:color w:val="auto"/>
        </w:rPr>
      </w:pPr>
    </w:p>
    <w:p>
      <w:pPr>
        <w:ind w:left="660" w:right="840"/>
        <w:spacing w:after="0" w:line="296"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 and [***] Services</w:t>
      </w:r>
      <w:r>
        <w:rPr>
          <w:rFonts w:ascii="Arial" w:cs="Arial" w:eastAsia="Arial" w:hAnsi="Arial"/>
          <w:sz w:val="18"/>
          <w:szCs w:val="18"/>
          <w:color w:val="auto"/>
        </w:rPr>
        <w:t>. The table below sets forth the [***] Fee to be charged [***] and the [***] License Fee related to Marqeta’s [***] Solution</w:t>
      </w:r>
      <w:r>
        <w:rPr>
          <w:rFonts w:ascii="Arial" w:cs="Arial" w:eastAsia="Arial" w:hAnsi="Arial"/>
          <w:sz w:val="21"/>
          <w:szCs w:val="21"/>
          <w:color w:val="auto"/>
        </w:rPr>
        <w:t>.</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20" w:type="dxa"/>
            <w:vAlign w:val="bottom"/>
            <w:tcBorders>
              <w:top w:val="single" w:sz="8" w:color="auto"/>
              <w:left w:val="single" w:sz="8" w:color="auto"/>
              <w:bottom w:val="single" w:sz="8" w:color="auto"/>
              <w:right w:val="single" w:sz="8" w:color="auto"/>
            </w:tcBorders>
            <w:shd w:val="clear" w:color="auto" w:fill="20124D"/>
          </w:tcPr>
          <w:p>
            <w:pPr>
              <w:jc w:val="center"/>
              <w:spacing w:after="0"/>
              <w:rPr>
                <w:sz w:val="20"/>
                <w:szCs w:val="20"/>
                <w:color w:val="auto"/>
              </w:rPr>
            </w:pPr>
            <w:r>
              <w:rPr>
                <w:rFonts w:ascii="Times New Roman" w:cs="Times New Roman" w:eastAsia="Times New Roman" w:hAnsi="Times New Roman"/>
                <w:sz w:val="14"/>
                <w:szCs w:val="14"/>
                <w:b w:val="1"/>
                <w:bCs w:val="1"/>
                <w:color w:val="FFFFFF"/>
              </w:rPr>
              <w:t>Product</w:t>
            </w:r>
          </w:p>
        </w:tc>
        <w:tc>
          <w:tcPr>
            <w:tcW w:w="5020" w:type="dxa"/>
            <w:vAlign w:val="bottom"/>
            <w:tcBorders>
              <w:top w:val="single" w:sz="8" w:color="auto"/>
              <w:bottom w:val="single" w:sz="8" w:color="auto"/>
              <w:right w:val="single" w:sz="8" w:color="auto"/>
            </w:tcBorders>
            <w:shd w:val="clear" w:color="auto" w:fill="20124D"/>
          </w:tcPr>
          <w:p>
            <w:pPr>
              <w:jc w:val="center"/>
              <w:spacing w:after="0"/>
              <w:rPr>
                <w:sz w:val="20"/>
                <w:szCs w:val="20"/>
                <w:color w:val="auto"/>
              </w:rPr>
            </w:pPr>
            <w:r>
              <w:rPr>
                <w:rFonts w:ascii="Times New Roman" w:cs="Times New Roman" w:eastAsia="Times New Roman" w:hAnsi="Times New Roman"/>
                <w:sz w:val="14"/>
                <w:szCs w:val="14"/>
                <w:b w:val="1"/>
                <w:bCs w:val="1"/>
                <w:color w:val="FFFFFF"/>
              </w:rPr>
              <w:t>Description</w:t>
            </w:r>
          </w:p>
        </w:tc>
        <w:tc>
          <w:tcPr>
            <w:tcW w:w="2980" w:type="dxa"/>
            <w:vAlign w:val="bottom"/>
            <w:tcBorders>
              <w:top w:val="single" w:sz="8" w:color="auto"/>
              <w:bottom w:val="single" w:sz="8" w:color="auto"/>
              <w:right w:val="single" w:sz="8" w:color="auto"/>
            </w:tcBorders>
            <w:shd w:val="clear" w:color="auto" w:fill="20124D"/>
          </w:tcPr>
          <w:p>
            <w:pPr>
              <w:ind w:left="1340"/>
              <w:spacing w:after="0"/>
              <w:rPr>
                <w:sz w:val="20"/>
                <w:szCs w:val="20"/>
                <w:color w:val="auto"/>
              </w:rPr>
            </w:pPr>
            <w:r>
              <w:rPr>
                <w:rFonts w:ascii="Times New Roman" w:cs="Times New Roman" w:eastAsia="Times New Roman" w:hAnsi="Times New Roman"/>
                <w:sz w:val="14"/>
                <w:szCs w:val="14"/>
                <w:b w:val="1"/>
                <w:bCs w:val="1"/>
                <w:color w:val="FFFFFF"/>
              </w:rPr>
              <w:t>Unit</w:t>
            </w:r>
          </w:p>
        </w:tc>
        <w:tc>
          <w:tcPr>
            <w:tcW w:w="1240" w:type="dxa"/>
            <w:vAlign w:val="bottom"/>
            <w:tcBorders>
              <w:top w:val="single" w:sz="8" w:color="auto"/>
              <w:bottom w:val="single" w:sz="8" w:color="auto"/>
              <w:right w:val="single" w:sz="8" w:color="auto"/>
            </w:tcBorders>
            <w:shd w:val="clear" w:color="auto" w:fill="20124D"/>
          </w:tcPr>
          <w:p>
            <w:pPr>
              <w:ind w:left="440"/>
              <w:spacing w:after="0"/>
              <w:rPr>
                <w:sz w:val="20"/>
                <w:szCs w:val="20"/>
                <w:color w:val="auto"/>
              </w:rPr>
            </w:pPr>
            <w:r>
              <w:rPr>
                <w:rFonts w:ascii="Times New Roman" w:cs="Times New Roman" w:eastAsia="Times New Roman" w:hAnsi="Times New Roman"/>
                <w:sz w:val="14"/>
                <w:szCs w:val="14"/>
                <w:b w:val="1"/>
                <w:bCs w:val="1"/>
                <w:color w:val="FFFFFF"/>
              </w:rPr>
              <w:t>Price</w:t>
            </w:r>
          </w:p>
        </w:tc>
        <w:tc>
          <w:tcPr>
            <w:tcW w:w="0" w:type="dxa"/>
            <w:vAlign w:val="bottom"/>
          </w:tcPr>
          <w:p>
            <w:pPr>
              <w:spacing w:after="0"/>
              <w:rPr>
                <w:sz w:val="1"/>
                <w:szCs w:val="1"/>
                <w:color w:val="auto"/>
              </w:rPr>
            </w:pPr>
          </w:p>
        </w:tc>
      </w:tr>
      <w:tr>
        <w:trPr>
          <w:trHeight w:val="229"/>
        </w:trPr>
        <w:tc>
          <w:tcPr>
            <w:tcW w:w="2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 Fee</w:t>
            </w:r>
          </w:p>
        </w:tc>
        <w:tc>
          <w:tcPr>
            <w:tcW w:w="5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 for the [***] Services.</w:t>
            </w:r>
          </w:p>
        </w:tc>
        <w:tc>
          <w:tcPr>
            <w:tcW w:w="2980" w:type="dxa"/>
            <w:vAlign w:val="bottom"/>
            <w:tcBorders>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 License Fee</w:t>
            </w:r>
          </w:p>
        </w:tc>
        <w:tc>
          <w:tcPr>
            <w:tcW w:w="50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Fee for access to Marqeta’s [***] Solution [***] the [***]</w:t>
            </w:r>
          </w:p>
        </w:tc>
        <w:tc>
          <w:tcPr>
            <w:tcW w:w="2980" w:type="dxa"/>
            <w:vAlign w:val="bottom"/>
            <w:tcBorders>
              <w:right w:val="single" w:sz="8" w:color="auto"/>
            </w:tcBorders>
            <w:vMerge w:val="restart"/>
          </w:tcPr>
          <w:p>
            <w:pPr>
              <w:ind w:left="13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2020" w:type="dxa"/>
            <w:vAlign w:val="bottom"/>
            <w:tcBorders>
              <w:left w:val="single" w:sz="8" w:color="auto"/>
              <w:right w:val="single" w:sz="8" w:color="auto"/>
            </w:tcBorders>
            <w:vMerge w:val="continue"/>
          </w:tcPr>
          <w:p>
            <w:pPr>
              <w:spacing w:after="0"/>
              <w:rPr>
                <w:sz w:val="13"/>
                <w:szCs w:val="13"/>
                <w:color w:val="auto"/>
              </w:rPr>
            </w:pPr>
          </w:p>
        </w:tc>
        <w:tc>
          <w:tcPr>
            <w:tcW w:w="5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Solution [***] as mutually agreed by Marqeta and Client.</w:t>
            </w:r>
          </w:p>
        </w:tc>
        <w:tc>
          <w:tcPr>
            <w:tcW w:w="2980" w:type="dxa"/>
            <w:vAlign w:val="bottom"/>
            <w:tcBorders>
              <w:right w:val="single" w:sz="8" w:color="auto"/>
            </w:tcBorders>
            <w:vMerge w:val="continue"/>
          </w:tcPr>
          <w:p>
            <w:pPr>
              <w:spacing w:after="0"/>
              <w:rPr>
                <w:sz w:val="13"/>
                <w:szCs w:val="13"/>
                <w:color w:val="auto"/>
              </w:rPr>
            </w:pPr>
          </w:p>
        </w:tc>
        <w:tc>
          <w:tcPr>
            <w:tcW w:w="12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20" w:type="dxa"/>
            <w:vAlign w:val="bottom"/>
            <w:tcBorders>
              <w:left w:val="single" w:sz="8" w:color="auto"/>
              <w:bottom w:val="single" w:sz="8" w:color="auto"/>
              <w:right w:val="single" w:sz="8" w:color="auto"/>
            </w:tcBorders>
          </w:tcPr>
          <w:p>
            <w:pPr>
              <w:spacing w:after="0"/>
              <w:rPr>
                <w:sz w:val="7"/>
                <w:szCs w:val="7"/>
                <w:color w:val="auto"/>
              </w:rPr>
            </w:pPr>
          </w:p>
        </w:tc>
        <w:tc>
          <w:tcPr>
            <w:tcW w:w="5020" w:type="dxa"/>
            <w:vAlign w:val="bottom"/>
            <w:tcBorders>
              <w:bottom w:val="single" w:sz="8" w:color="auto"/>
              <w:right w:val="single" w:sz="8" w:color="auto"/>
            </w:tcBorders>
            <w:vMerge w:val="continue"/>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70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Please see Exhibit 1 of additional terms and conditions applicable to </w:t>
            </w:r>
            <w:r>
              <w:rPr>
                <w:rFonts w:ascii="Arial" w:cs="Arial" w:eastAsia="Arial" w:hAnsi="Arial"/>
                <w:sz w:val="18"/>
                <w:szCs w:val="18"/>
                <w:color w:val="auto"/>
              </w:rPr>
              <w:t>[***]</w:t>
            </w:r>
            <w:r>
              <w:rPr>
                <w:rFonts w:ascii="Arial" w:cs="Arial" w:eastAsia="Arial" w:hAnsi="Arial"/>
                <w:sz w:val="18"/>
                <w:szCs w:val="18"/>
                <w:i w:val="1"/>
                <w:iCs w:val="1"/>
                <w:color w:val="auto"/>
              </w:rPr>
              <w:t xml:space="preserve"> Services.</w:t>
            </w:r>
            <w:r>
              <w:rPr>
                <w:rFonts w:ascii="Arial" w:cs="Arial" w:eastAsia="Arial" w:hAnsi="Arial"/>
                <w:sz w:val="18"/>
                <w:szCs w:val="18"/>
                <w:color w:val="auto"/>
              </w:rPr>
              <w:t>”</w:t>
            </w:r>
          </w:p>
        </w:tc>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right="740" w:hanging="328"/>
        <w:spacing w:after="0" w:line="287"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 and [***] Solution Terms. </w:t>
      </w:r>
      <w:r>
        <w:rPr>
          <w:rFonts w:ascii="Arial" w:cs="Arial" w:eastAsia="Arial" w:hAnsi="Arial"/>
          <w:sz w:val="18"/>
          <w:szCs w:val="18"/>
          <w:color w:val="auto"/>
        </w:rPr>
        <w:t>The terms and conditions attached to this Amendment as Exhibit A are added as Exhibit 1 to</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D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60"/>
          </w:cols>
          <w:pgMar w:left="320" w:top="125" w:right="319" w:bottom="1440" w:gutter="0" w:footer="0" w:header="0"/>
        </w:sectPr>
      </w:pPr>
    </w:p>
    <w:bookmarkStart w:id="40" w:name="page41"/>
    <w:bookmarkEnd w:id="40"/>
    <w:p>
      <w:pPr>
        <w:ind w:left="820" w:right="40" w:hanging="778"/>
        <w:spacing w:after="0" w:line="286" w:lineRule="auto"/>
        <w:rPr>
          <w:sz w:val="20"/>
          <w:szCs w:val="20"/>
          <w:color w:val="auto"/>
        </w:rPr>
      </w:pPr>
      <w:r>
        <w:rPr>
          <w:rFonts w:ascii="Arial" w:cs="Arial" w:eastAsia="Arial" w:hAnsi="Arial"/>
          <w:sz w:val="16"/>
          <w:szCs w:val="16"/>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383" w:lineRule="exact"/>
        <w:rPr>
          <w:sz w:val="20"/>
          <w:szCs w:val="20"/>
          <w:color w:val="auto"/>
        </w:rPr>
      </w:pPr>
    </w:p>
    <w:p>
      <w:pPr>
        <w:ind w:left="660" w:right="1080" w:hanging="328"/>
        <w:spacing w:after="0" w:line="287"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Effectiveness of Pricing Changes. </w:t>
      </w:r>
      <w:r>
        <w:rPr>
          <w:rFonts w:ascii="Arial" w:cs="Arial" w:eastAsia="Arial" w:hAnsi="Arial"/>
          <w:sz w:val="18"/>
          <w:szCs w:val="18"/>
          <w:color w:val="auto"/>
        </w:rPr>
        <w:t>Any changes to pricing or fees in the Agreement or an Order Form, reflected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will be effective on [***] following the Amendment Effective Date.</w:t>
      </w:r>
    </w:p>
    <w:p>
      <w:pPr>
        <w:spacing w:after="0" w:line="179" w:lineRule="exact"/>
        <w:rPr>
          <w:rFonts w:ascii="Arial" w:cs="Arial" w:eastAsia="Arial" w:hAnsi="Arial"/>
          <w:sz w:val="18"/>
          <w:szCs w:val="18"/>
          <w:color w:val="auto"/>
        </w:rPr>
      </w:pPr>
    </w:p>
    <w:p>
      <w:pPr>
        <w:ind w:left="660" w:right="140" w:hanging="328"/>
        <w:spacing w:after="0" w:line="257"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Issues related to the [***] and [***] Solution. </w:t>
      </w:r>
      <w:r>
        <w:rPr>
          <w:rFonts w:ascii="Arial" w:cs="Arial" w:eastAsia="Arial" w:hAnsi="Arial"/>
          <w:sz w:val="18"/>
          <w:szCs w:val="18"/>
          <w:color w:val="auto"/>
        </w:rPr>
        <w:t>In the event that Client, acting reasonably and in good faith, believes that there are</w:t>
      </w:r>
      <w:r>
        <w:rPr>
          <w:rFonts w:ascii="Arial" w:cs="Arial" w:eastAsia="Arial" w:hAnsi="Arial"/>
          <w:sz w:val="18"/>
          <w:szCs w:val="18"/>
          <w:b w:val="1"/>
          <w:bCs w:val="1"/>
          <w:color w:val="auto"/>
        </w:rPr>
        <w:t xml:space="preserve"> </w:t>
      </w:r>
      <w:r>
        <w:rPr>
          <w:rFonts w:ascii="Arial" w:cs="Arial" w:eastAsia="Arial" w:hAnsi="Arial"/>
          <w:sz w:val="18"/>
          <w:szCs w:val="18"/>
          <w:color w:val="auto"/>
        </w:rPr>
        <w:t>any issues or has concerns regarding Marqeta’s performance of the [***] Services and / or the [***] Solution, Client may provide Marqeta written notice of such issues or concerns, and, upon receipt of such notice from Client, Marqeta will cooperate in good faith with Client, and use commercially reasonable efforts, to resolve any such issues or concerns. In the event that Marqeta and Client, acting reasonably and in good faith, are not able to resolve such issues or concerns included in Client’s notice, Marqeta and Client may mutually agree in writing to terminate Client’s use of the [***] Services and / or the [***] Solution.</w:t>
      </w:r>
    </w:p>
    <w:p>
      <w:pPr>
        <w:spacing w:after="0" w:line="209" w:lineRule="exact"/>
        <w:rPr>
          <w:rFonts w:ascii="Arial" w:cs="Arial" w:eastAsia="Arial" w:hAnsi="Arial"/>
          <w:sz w:val="18"/>
          <w:szCs w:val="18"/>
          <w:color w:val="auto"/>
        </w:rPr>
      </w:pPr>
    </w:p>
    <w:p>
      <w:pPr>
        <w:ind w:left="660" w:right="60" w:hanging="328"/>
        <w:spacing w:after="0" w:line="282" w:lineRule="auto"/>
        <w:tabs>
          <w:tab w:leader="none" w:pos="648"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Limited Addendum. </w:t>
      </w:r>
      <w:r>
        <w:rPr>
          <w:rFonts w:ascii="Arial" w:cs="Arial" w:eastAsia="Arial" w:hAnsi="Arial"/>
          <w:sz w:val="17"/>
          <w:szCs w:val="17"/>
          <w:color w:val="auto"/>
        </w:rPr>
        <w:t>This Amendment and the Agreement set forth the Parties’ entire agreement regarding the subject matter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This Amendment incorporates by reference the terms of the Agreement, and the specific terms and conditions in this Amendment govern, control, and supersede the Agreement solely with respect to the subject matters covered in this Amendment. Except as modified or supplemented by this Amendment, all the provisions of the Agreement remain in full force and effect.</w:t>
      </w:r>
    </w:p>
    <w:p>
      <w:pPr>
        <w:spacing w:after="0" w:line="188" w:lineRule="exact"/>
        <w:rPr>
          <w:rFonts w:ascii="Arial" w:cs="Arial" w:eastAsia="Arial" w:hAnsi="Arial"/>
          <w:sz w:val="17"/>
          <w:szCs w:val="17"/>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electronically and in counterparts.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Amendment </w:t>
      </w:r>
      <w:r>
        <w:rPr>
          <w:rFonts w:ascii="Arial" w:cs="Arial" w:eastAsia="Arial" w:hAnsi="Arial"/>
          <w:sz w:val="18"/>
          <w:szCs w:val="18"/>
          <w:color w:val="auto"/>
        </w:rPr>
        <w:t>has been signed by the Parties or their duly authorized representatives as of the Amendment Effective Date.</w:t>
      </w: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Marqeta, Inc.</w:t>
            </w:r>
          </w:p>
        </w:tc>
        <w:tc>
          <w:tcPr>
            <w:tcW w:w="56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Block Inc. (“Client”)</w:t>
            </w:r>
          </w:p>
        </w:tc>
      </w:tr>
      <w:tr>
        <w:trPr>
          <w:trHeight w:val="223"/>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/s/ todd Pollak</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/s/ [***]</w:t>
            </w:r>
          </w:p>
        </w:tc>
      </w:tr>
      <w:tr>
        <w:trPr>
          <w:trHeight w:val="223"/>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Print: todd Pollak</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Print: [***]</w:t>
            </w:r>
          </w:p>
        </w:tc>
      </w:tr>
      <w:tr>
        <w:trPr>
          <w:trHeight w:val="223"/>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 Chief Revenue Officer</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Title: Head of Issuing</w:t>
            </w:r>
          </w:p>
        </w:tc>
      </w:tr>
      <w:tr>
        <w:trPr>
          <w:trHeight w:val="223"/>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 March 26, 2025</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Date: 27 March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60"/>
          </w:cols>
          <w:pgMar w:left="320" w:top="125" w:right="319" w:bottom="1440" w:gutter="0" w:footer="0" w:header="0"/>
        </w:sectPr>
      </w:pPr>
    </w:p>
    <w:bookmarkStart w:id="41" w:name="page42"/>
    <w:bookmarkEnd w:id="41"/>
    <w:p>
      <w:pPr>
        <w:ind w:left="780" w:hanging="778"/>
        <w:spacing w:after="0" w:line="286" w:lineRule="auto"/>
        <w:rPr>
          <w:sz w:val="20"/>
          <w:szCs w:val="20"/>
          <w:color w:val="auto"/>
        </w:rPr>
      </w:pPr>
      <w:r>
        <w:rPr>
          <w:rFonts w:ascii="Arial" w:cs="Arial" w:eastAsia="Arial" w:hAnsi="Arial"/>
          <w:sz w:val="16"/>
          <w:szCs w:val="16"/>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104" w:lineRule="exact"/>
        <w:rPr>
          <w:sz w:val="20"/>
          <w:szCs w:val="20"/>
          <w:color w:val="auto"/>
        </w:rPr>
      </w:pPr>
    </w:p>
    <w:p>
      <w:pPr>
        <w:ind w:left="4160" w:hanging="384"/>
        <w:spacing w:after="0"/>
        <w:tabs>
          <w:tab w:leader="none" w:pos="41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Services and [***] Terms &amp; Conditions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89" w:lineRule="exact"/>
        <w:rPr>
          <w:rFonts w:ascii="Arial" w:cs="Arial" w:eastAsia="Arial" w:hAnsi="Arial"/>
          <w:sz w:val="18"/>
          <w:szCs w:val="18"/>
          <w:b w:val="1"/>
          <w:bCs w:val="1"/>
          <w:color w:val="auto"/>
        </w:rPr>
      </w:pPr>
    </w:p>
    <w:p>
      <w:pPr>
        <w:ind w:left="5300"/>
        <w:spacing w:after="0"/>
        <w:rPr>
          <w:rFonts w:ascii="Arial" w:cs="Arial" w:eastAsia="Arial" w:hAnsi="Arial"/>
          <w:sz w:val="18"/>
          <w:szCs w:val="18"/>
          <w:b w:val="1"/>
          <w:bCs w:val="1"/>
          <w:color w:val="auto"/>
        </w:rPr>
      </w:pPr>
      <w:r>
        <w:rPr>
          <w:rFonts w:ascii="Arial" w:cs="Arial" w:eastAsia="Arial" w:hAnsi="Arial"/>
          <w:sz w:val="18"/>
          <w:szCs w:val="18"/>
          <w:color w:val="auto"/>
        </w:rPr>
        <w:t>Page 3</w:t>
      </w:r>
    </w:p>
    <w:p>
      <w:pPr>
        <w:sectPr>
          <w:pgSz w:w="11900" w:h="16838" w:orient="portrait"/>
          <w:cols w:equalWidth="0" w:num="1">
            <w:col w:w="11180"/>
          </w:cols>
          <w:pgMar w:left="360" w:top="125" w:right="359" w:bottom="1440" w:gutter="0" w:footer="0" w:header="0"/>
        </w:sectPr>
      </w:pPr>
    </w:p>
    <w:bookmarkStart w:id="42" w:name="page43"/>
    <w:bookmarkEnd w:id="42"/>
    <w:p>
      <w:pPr>
        <w:jc w:val="center"/>
        <w:spacing w:after="0" w:line="286" w:lineRule="auto"/>
        <w:rPr>
          <w:sz w:val="20"/>
          <w:szCs w:val="20"/>
          <w:color w:val="auto"/>
        </w:rPr>
      </w:pPr>
      <w:r>
        <w:rPr>
          <w:rFonts w:ascii="Arial" w:cs="Arial" w:eastAsia="Arial" w:hAnsi="Arial"/>
          <w:sz w:val="16"/>
          <w:szCs w:val="16"/>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Exhibit 10.2</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24 TO MASTER SERVICES AGREEMENT</w:t>
      </w:r>
    </w:p>
    <w:p>
      <w:pPr>
        <w:spacing w:after="0" w:line="23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Amendment No. 24 (“</w:t>
      </w:r>
      <w:r>
        <w:rPr>
          <w:rFonts w:ascii="Arial" w:cs="Arial" w:eastAsia="Arial" w:hAnsi="Arial"/>
          <w:sz w:val="18"/>
          <w:szCs w:val="18"/>
          <w:b w:val="1"/>
          <w:bCs w:val="1"/>
          <w:color w:val="auto"/>
        </w:rPr>
        <w:t>Amendment</w:t>
      </w:r>
      <w:r>
        <w:rPr>
          <w:rFonts w:ascii="Arial" w:cs="Arial" w:eastAsia="Arial" w:hAnsi="Arial"/>
          <w:sz w:val="18"/>
          <w:szCs w:val="18"/>
          <w:color w:val="auto"/>
        </w:rPr>
        <w:t>”) is dated and effective on February 28, 2025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 Block, Inc., a Delaware corporation, whose principal address is 1955 Broadway, Suite 600, Oakland, CA 94612 (“</w:t>
      </w:r>
      <w:r>
        <w:rPr>
          <w:rFonts w:ascii="Arial" w:cs="Arial" w:eastAsia="Arial" w:hAnsi="Arial"/>
          <w:sz w:val="18"/>
          <w:szCs w:val="18"/>
          <w:b w:val="1"/>
          <w:bCs w:val="1"/>
          <w:color w:val="auto"/>
        </w:rPr>
        <w:t>Client</w:t>
      </w:r>
      <w:r>
        <w:rPr>
          <w:rFonts w:ascii="Arial" w:cs="Arial" w:eastAsia="Arial" w:hAnsi="Arial"/>
          <w:sz w:val="18"/>
          <w:szCs w:val="18"/>
          <w:color w:val="auto"/>
        </w:rPr>
        <w:t>”) and Marqeta, Inc., a Delaware corporation, whose principal address is 180 Grand Avenue, 6th Floor, Oakland, CA 94612 (“</w:t>
      </w:r>
      <w:r>
        <w:rPr>
          <w:rFonts w:ascii="Arial" w:cs="Arial" w:eastAsia="Arial" w:hAnsi="Arial"/>
          <w:sz w:val="18"/>
          <w:szCs w:val="18"/>
          <w:b w:val="1"/>
          <w:bCs w:val="1"/>
          <w:color w:val="auto"/>
        </w:rPr>
        <w:t>Marqeta</w:t>
      </w:r>
      <w:r>
        <w:rPr>
          <w:rFonts w:ascii="Arial" w:cs="Arial" w:eastAsia="Arial" w:hAnsi="Arial"/>
          <w:sz w:val="18"/>
          <w:szCs w:val="18"/>
          <w:color w:val="auto"/>
        </w:rPr>
        <w:t>”), and amends the Master Services Agreement between Client and Marqeta dated April 19, 2016, as amended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that are not defined in this Amendment are defined in the Agreement.</w:t>
      </w:r>
    </w:p>
    <w:p>
      <w:pPr>
        <w:spacing w:after="0" w:line="220" w:lineRule="exact"/>
        <w:rPr>
          <w:sz w:val="20"/>
          <w:szCs w:val="20"/>
          <w:color w:val="auto"/>
        </w:rPr>
      </w:pPr>
    </w:p>
    <w:p>
      <w:pPr>
        <w:ind w:left="340" w:right="40" w:hanging="332"/>
        <w:spacing w:after="0" w:line="283" w:lineRule="auto"/>
        <w:tabs>
          <w:tab w:leader="none" w:pos="329" w:val="left"/>
        </w:tabs>
        <w:numPr>
          <w:ilvl w:val="0"/>
          <w:numId w:val="35"/>
        </w:numPr>
        <w:rPr>
          <w:rFonts w:ascii="Arial" w:cs="Arial" w:eastAsia="Arial" w:hAnsi="Arial"/>
          <w:sz w:val="20"/>
          <w:szCs w:val="20"/>
          <w:color w:val="auto"/>
        </w:rPr>
      </w:pPr>
      <w:r>
        <w:rPr>
          <w:rFonts w:ascii="Arial" w:cs="Arial" w:eastAsia="Arial" w:hAnsi="Arial"/>
          <w:sz w:val="18"/>
          <w:szCs w:val="18"/>
          <w:b w:val="1"/>
          <w:bCs w:val="1"/>
          <w:color w:val="auto"/>
        </w:rPr>
        <w:t>Marqeta [***] Service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for Client’s Cash App Program [***]. Marqeta will provide the following Service to Client for Client’s Cash App</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and Client will be responsible for paying the Fees set forth in the table in Section 2 below for such Service</w:t>
      </w:r>
      <w:r>
        <w:rPr>
          <w:rFonts w:ascii="Arial" w:cs="Arial" w:eastAsia="Arial" w:hAnsi="Arial"/>
          <w:sz w:val="19"/>
          <w:szCs w:val="19"/>
          <w:color w:val="auto"/>
        </w:rPr>
        <w:t>.</w:t>
      </w:r>
    </w:p>
    <w:p>
      <w:pPr>
        <w:spacing w:after="0" w:line="200" w:lineRule="exact"/>
        <w:rPr>
          <w:rFonts w:ascii="Arial" w:cs="Arial" w:eastAsia="Arial" w:hAnsi="Arial"/>
          <w:sz w:val="20"/>
          <w:szCs w:val="20"/>
          <w:color w:val="auto"/>
        </w:rPr>
      </w:pPr>
    </w:p>
    <w:p>
      <w:pPr>
        <w:ind w:left="340" w:right="20" w:hanging="332"/>
        <w:spacing w:after="0" w:line="260" w:lineRule="auto"/>
        <w:tabs>
          <w:tab w:leader="none" w:pos="329" w:val="left"/>
        </w:tabs>
        <w:numPr>
          <w:ilvl w:val="0"/>
          <w:numId w:val="35"/>
        </w:numPr>
        <w:rPr>
          <w:rFonts w:ascii="Arial" w:cs="Arial" w:eastAsia="Arial" w:hAnsi="Arial"/>
          <w:sz w:val="20"/>
          <w:szCs w:val="20"/>
          <w:color w:val="auto"/>
        </w:rPr>
      </w:pPr>
      <w:r>
        <w:rPr>
          <w:rFonts w:ascii="Arial" w:cs="Arial" w:eastAsia="Arial" w:hAnsi="Arial"/>
          <w:sz w:val="18"/>
          <w:szCs w:val="18"/>
          <w:b w:val="1"/>
          <w:bCs w:val="1"/>
          <w:color w:val="auto"/>
        </w:rPr>
        <w:t>Amendment to Schedule D of Agreement</w:t>
      </w:r>
      <w:r>
        <w:rPr>
          <w:rFonts w:ascii="Arial" w:cs="Arial" w:eastAsia="Arial" w:hAnsi="Arial"/>
          <w:sz w:val="18"/>
          <w:szCs w:val="18"/>
          <w:color w:val="auto"/>
        </w:rPr>
        <w:t>. Schedule D (Fees of the Agreement), at the end of the section under the heading “Cash</w:t>
      </w:r>
      <w:r>
        <w:rPr>
          <w:rFonts w:ascii="Arial" w:cs="Arial" w:eastAsia="Arial" w:hAnsi="Arial"/>
          <w:sz w:val="18"/>
          <w:szCs w:val="18"/>
          <w:b w:val="1"/>
          <w:bCs w:val="1"/>
          <w:color w:val="auto"/>
        </w:rPr>
        <w:t xml:space="preserve"> </w:t>
      </w:r>
      <w:r>
        <w:rPr>
          <w:rFonts w:ascii="Arial" w:cs="Arial" w:eastAsia="Arial" w:hAnsi="Arial"/>
          <w:sz w:val="18"/>
          <w:szCs w:val="18"/>
          <w:color w:val="auto"/>
        </w:rPr>
        <w:t>App Program Fees” shall be amended by adding the following:</w:t>
      </w:r>
    </w:p>
    <w:p>
      <w:pPr>
        <w:spacing w:after="0" w:line="201"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18"/>
          <w:szCs w:val="18"/>
          <w:color w:val="auto"/>
        </w:rPr>
        <w:t>“Beginning on [***], the fees set forth below shall apply solely to the Cash App Program as follows:</w:t>
      </w:r>
    </w:p>
    <w:p>
      <w:pPr>
        <w:spacing w:after="0" w:line="252"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18"/>
          <w:szCs w:val="18"/>
          <w:b w:val="1"/>
          <w:bCs w:val="1"/>
          <w:color w:val="auto"/>
        </w:rPr>
        <w:t>Cash App Program [***] Service.</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440" w:type="dxa"/>
            <w:vAlign w:val="bottom"/>
            <w:tcBorders>
              <w:top w:val="single" w:sz="8" w:color="auto"/>
              <w:left w:val="single" w:sz="8" w:color="auto"/>
              <w:bottom w:val="single" w:sz="8" w:color="auto"/>
              <w:right w:val="single" w:sz="8" w:color="auto"/>
            </w:tcBorders>
            <w:shd w:val="clear" w:color="auto" w:fill="B7B7B7"/>
          </w:tcPr>
          <w:p>
            <w:pPr>
              <w:ind w:left="80"/>
              <w:spacing w:after="0"/>
              <w:rPr>
                <w:sz w:val="20"/>
                <w:szCs w:val="20"/>
                <w:color w:val="auto"/>
              </w:rPr>
            </w:pPr>
            <w:r>
              <w:rPr>
                <w:rFonts w:ascii="Arial" w:cs="Arial" w:eastAsia="Arial" w:hAnsi="Arial"/>
                <w:sz w:val="14"/>
                <w:szCs w:val="14"/>
                <w:b w:val="1"/>
                <w:bCs w:val="1"/>
                <w:color w:val="auto"/>
              </w:rPr>
              <w:t>Item</w:t>
            </w:r>
          </w:p>
        </w:tc>
        <w:tc>
          <w:tcPr>
            <w:tcW w:w="4020" w:type="dxa"/>
            <w:vAlign w:val="bottom"/>
            <w:tcBorders>
              <w:top w:val="single" w:sz="8" w:color="auto"/>
              <w:bottom w:val="single" w:sz="8" w:color="auto"/>
              <w:right w:val="single" w:sz="8" w:color="auto"/>
            </w:tcBorders>
            <w:shd w:val="clear" w:color="auto" w:fill="B7B7B7"/>
          </w:tcPr>
          <w:p>
            <w:pPr>
              <w:ind w:left="6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Borders>
              <w:top w:val="single" w:sz="8" w:color="auto"/>
              <w:bottom w:val="single" w:sz="8" w:color="auto"/>
              <w:right w:val="single" w:sz="8" w:color="auto"/>
            </w:tcBorders>
            <w:shd w:val="clear" w:color="auto" w:fill="B7B7B7"/>
          </w:tcPr>
          <w:p>
            <w:pPr>
              <w:ind w:left="40"/>
              <w:spacing w:after="0"/>
              <w:rPr>
                <w:sz w:val="20"/>
                <w:szCs w:val="20"/>
                <w:color w:val="auto"/>
              </w:rPr>
            </w:pPr>
            <w:r>
              <w:rPr>
                <w:rFonts w:ascii="Arial" w:cs="Arial" w:eastAsia="Arial" w:hAnsi="Arial"/>
                <w:sz w:val="14"/>
                <w:szCs w:val="14"/>
                <w:b w:val="1"/>
                <w:bCs w:val="1"/>
                <w:color w:val="auto"/>
              </w:rPr>
              <w:t>Unit</w:t>
            </w:r>
          </w:p>
        </w:tc>
        <w:tc>
          <w:tcPr>
            <w:tcW w:w="3700" w:type="dxa"/>
            <w:vAlign w:val="bottom"/>
            <w:tcBorders>
              <w:top w:val="single" w:sz="8" w:color="auto"/>
              <w:bottom w:val="single" w:sz="8" w:color="auto"/>
              <w:right w:val="single" w:sz="8" w:color="auto"/>
            </w:tcBorders>
            <w:shd w:val="clear" w:color="auto" w:fill="B7B7B7"/>
          </w:tcPr>
          <w:p>
            <w:pPr>
              <w:ind w:left="60"/>
              <w:spacing w:after="0"/>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215"/>
        </w:trPr>
        <w:tc>
          <w:tcPr>
            <w:tcW w:w="2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Cash App Program [***]</w:t>
            </w:r>
          </w:p>
        </w:tc>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 Client’s Cash App Program [***], Marqeta will [***]</w:t>
            </w:r>
          </w:p>
        </w:tc>
        <w:tc>
          <w:tcPr>
            <w:tcW w:w="11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4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Service and Related Fee</w:t>
            </w:r>
          </w:p>
        </w:tc>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for Client’s Cash App Program into a [***] consistent</w:t>
            </w:r>
          </w:p>
        </w:tc>
        <w:tc>
          <w:tcPr>
            <w:tcW w:w="110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Marqeta will provide Client with a written</w:t>
            </w:r>
          </w:p>
        </w:tc>
        <w:tc>
          <w:tcPr>
            <w:tcW w:w="0" w:type="dxa"/>
            <w:vAlign w:val="bottom"/>
          </w:tcPr>
          <w:p>
            <w:pPr>
              <w:spacing w:after="0"/>
              <w:rPr>
                <w:sz w:val="1"/>
                <w:szCs w:val="1"/>
                <w:color w:val="auto"/>
              </w:rPr>
            </w:pPr>
          </w:p>
        </w:tc>
      </w:tr>
      <w:tr>
        <w:trPr>
          <w:trHeight w:val="163"/>
        </w:trPr>
        <w:tc>
          <w:tcPr>
            <w:tcW w:w="2440" w:type="dxa"/>
            <w:vAlign w:val="bottom"/>
            <w:tcBorders>
              <w:left w:val="single" w:sz="8" w:color="auto"/>
              <w:right w:val="single" w:sz="8" w:color="auto"/>
            </w:tcBorders>
          </w:tcPr>
          <w:p>
            <w:pPr>
              <w:spacing w:after="0"/>
              <w:rPr>
                <w:sz w:val="14"/>
                <w:szCs w:val="14"/>
                <w:color w:val="auto"/>
              </w:rPr>
            </w:pPr>
          </w:p>
        </w:tc>
        <w:tc>
          <w:tcPr>
            <w:tcW w:w="4020" w:type="dxa"/>
            <w:vAlign w:val="bottom"/>
            <w:tcBorders>
              <w:right w:val="single" w:sz="8" w:color="auto"/>
            </w:tcBorders>
          </w:tcPr>
          <w:p>
            <w:pPr>
              <w:ind w:left="60"/>
              <w:spacing w:after="0" w:line="163" w:lineRule="exact"/>
              <w:rPr>
                <w:sz w:val="20"/>
                <w:szCs w:val="20"/>
                <w:color w:val="auto"/>
              </w:rPr>
            </w:pPr>
            <w:r>
              <w:rPr>
                <w:rFonts w:ascii="Arial" w:cs="Arial" w:eastAsia="Arial" w:hAnsi="Arial"/>
                <w:sz w:val="16"/>
                <w:szCs w:val="16"/>
                <w:color w:val="auto"/>
              </w:rPr>
              <w:t>with the already existing [***] provided by Marqeta to</w:t>
            </w:r>
          </w:p>
        </w:tc>
        <w:tc>
          <w:tcPr>
            <w:tcW w:w="1100" w:type="dxa"/>
            <w:vAlign w:val="bottom"/>
            <w:tcBorders>
              <w:right w:val="single" w:sz="8" w:color="auto"/>
            </w:tcBorders>
          </w:tcPr>
          <w:p>
            <w:pPr>
              <w:spacing w:after="0"/>
              <w:rPr>
                <w:sz w:val="14"/>
                <w:szCs w:val="14"/>
                <w:color w:val="auto"/>
              </w:rPr>
            </w:pPr>
          </w:p>
        </w:tc>
        <w:tc>
          <w:tcPr>
            <w:tcW w:w="37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Client (“</w:t>
            </w:r>
            <w:r>
              <w:rPr>
                <w:rFonts w:ascii="Arial" w:cs="Arial" w:eastAsia="Arial" w:hAnsi="Arial"/>
                <w:sz w:val="16"/>
                <w:szCs w:val="16"/>
                <w:b w:val="1"/>
                <w:bCs w:val="1"/>
                <w:color w:val="auto"/>
              </w:rPr>
              <w:t>Service</w:t>
            </w:r>
            <w:r>
              <w:rPr>
                <w:rFonts w:ascii="Arial" w:cs="Arial" w:eastAsia="Arial" w:hAnsi="Arial"/>
                <w:sz w:val="16"/>
                <w:szCs w:val="16"/>
                <w:color w:val="auto"/>
              </w:rPr>
              <w:t>”). For clarity, the only [***] to be</w:t>
            </w: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quarterly certification from Marqeta’s CFO</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included in such Service shall be [***] and such</w:t>
            </w: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regarding the [***] as set forth above, which shall</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Service shall only be applied for Client’s Cash App</w:t>
            </w:r>
          </w:p>
        </w:tc>
        <w:tc>
          <w:tcPr>
            <w:tcW w:w="11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be executed by Marqeta’s CFO.</w:t>
            </w:r>
          </w:p>
        </w:tc>
        <w:tc>
          <w:tcPr>
            <w:tcW w:w="0" w:type="dxa"/>
            <w:vAlign w:val="bottom"/>
          </w:tcPr>
          <w:p>
            <w:pPr>
              <w:spacing w:after="0"/>
              <w:rPr>
                <w:sz w:val="1"/>
                <w:szCs w:val="1"/>
                <w:color w:val="auto"/>
              </w:rPr>
            </w:pPr>
          </w:p>
        </w:tc>
      </w:tr>
      <w:tr>
        <w:trPr>
          <w:trHeight w:val="215"/>
        </w:trPr>
        <w:tc>
          <w:tcPr>
            <w:tcW w:w="244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Program [***].</w:t>
            </w:r>
          </w:p>
        </w:tc>
        <w:tc>
          <w:tcPr>
            <w:tcW w:w="11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Notwithstanding the foregoing, in the event Client</w:t>
            </w:r>
          </w:p>
        </w:tc>
        <w:tc>
          <w:tcPr>
            <w:tcW w:w="0" w:type="dxa"/>
            <w:vAlign w:val="bottom"/>
          </w:tcPr>
          <w:p>
            <w:pPr>
              <w:spacing w:after="0"/>
              <w:rPr>
                <w:sz w:val="1"/>
                <w:szCs w:val="1"/>
                <w:color w:val="auto"/>
              </w:rPr>
            </w:pPr>
          </w:p>
        </w:tc>
      </w:tr>
      <w:tr>
        <w:trPr>
          <w:trHeight w:val="109"/>
        </w:trPr>
        <w:tc>
          <w:tcPr>
            <w:tcW w:w="2440" w:type="dxa"/>
            <w:vAlign w:val="bottom"/>
            <w:tcBorders>
              <w:left w:val="single" w:sz="8" w:color="auto"/>
              <w:right w:val="single" w:sz="8" w:color="auto"/>
            </w:tcBorders>
          </w:tcPr>
          <w:p>
            <w:pPr>
              <w:spacing w:after="0"/>
              <w:rPr>
                <w:sz w:val="9"/>
                <w:szCs w:val="9"/>
                <w:color w:val="auto"/>
              </w:rPr>
            </w:pPr>
          </w:p>
        </w:tc>
        <w:tc>
          <w:tcPr>
            <w:tcW w:w="40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3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receives information from a source(s) other than</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Marqeta regarding the [***] Client’s Cash App</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Program [***], and Client does not believe that</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Marqeta’s [***] as a result, Client may provide</w:t>
            </w:r>
          </w:p>
        </w:tc>
        <w:tc>
          <w:tcPr>
            <w:tcW w:w="0" w:type="dxa"/>
            <w:vAlign w:val="bottom"/>
          </w:tcPr>
          <w:p>
            <w:pPr>
              <w:spacing w:after="0"/>
              <w:rPr>
                <w:sz w:val="1"/>
                <w:szCs w:val="1"/>
                <w:color w:val="auto"/>
              </w:rPr>
            </w:pPr>
          </w:p>
        </w:tc>
      </w:tr>
      <w:tr>
        <w:trPr>
          <w:trHeight w:val="202"/>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written notice to Marqeta. Upon receipt of such</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written notice from Client, Marqeta will</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reasonably cooperate in good faith with Client to</w:t>
            </w:r>
          </w:p>
        </w:tc>
        <w:tc>
          <w:tcPr>
            <w:tcW w:w="0" w:type="dxa"/>
            <w:vAlign w:val="bottom"/>
          </w:tcPr>
          <w:p>
            <w:pPr>
              <w:spacing w:after="0"/>
              <w:rPr>
                <w:sz w:val="1"/>
                <w:szCs w:val="1"/>
                <w:color w:val="auto"/>
              </w:rPr>
            </w:pP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address Client’s belief and to provide Client with</w:t>
            </w:r>
          </w:p>
        </w:tc>
        <w:tc>
          <w:tcPr>
            <w:tcW w:w="0" w:type="dxa"/>
            <w:vAlign w:val="bottom"/>
          </w:tcPr>
          <w:p>
            <w:pPr>
              <w:spacing w:after="0"/>
              <w:rPr>
                <w:sz w:val="1"/>
                <w:szCs w:val="1"/>
                <w:color w:val="auto"/>
              </w:rPr>
            </w:pPr>
          </w:p>
        </w:tc>
      </w:tr>
      <w:tr>
        <w:trPr>
          <w:trHeight w:val="215"/>
        </w:trPr>
        <w:tc>
          <w:tcPr>
            <w:tcW w:w="244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 to [***] to Marqeta.</w:t>
            </w:r>
          </w:p>
        </w:tc>
        <w:tc>
          <w:tcPr>
            <w:tcW w:w="0" w:type="dxa"/>
            <w:vAlign w:val="bottom"/>
          </w:tcPr>
          <w:p>
            <w:pPr>
              <w:spacing w:after="0"/>
              <w:rPr>
                <w:sz w:val="1"/>
                <w:szCs w:val="1"/>
                <w:color w:val="auto"/>
              </w:rPr>
            </w:pPr>
          </w:p>
        </w:tc>
      </w:tr>
      <w:tr>
        <w:trPr>
          <w:trHeight w:val="178"/>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402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340" w:right="20" w:hanging="8"/>
        <w:spacing w:after="0" w:line="271"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addition to Marqeta’s warranties set forth in Section 10(a) of Schedule B, Marqeta represents, warrants, and covenants, with respect to the Service, the [***] provided to Client by Marqeta: (a) will be in a consistent [***] (e.g., all [***] included and provided in [***]) as provided by Marqeta directly to Client immediately prior to the Amendment Effective Date and shall be updated accordingly in the event [***] changes or enhances its [***], and (b) will be an accurate and complete instance of the [***] as provided by [***] to Marqeta and will not include any [***] by Marqeta or any Marqeta Personnel.</w:t>
      </w:r>
    </w:p>
    <w:p>
      <w:pPr>
        <w:sectPr>
          <w:pgSz w:w="11900" w:h="16838" w:orient="portrait"/>
          <w:cols w:equalWidth="0" w:num="1">
            <w:col w:w="11260"/>
          </w:cols>
          <w:pgMar w:left="320" w:top="125" w:right="319" w:bottom="1440" w:gutter="0" w:footer="0" w:header="0"/>
        </w:sectPr>
      </w:pPr>
    </w:p>
    <w:bookmarkStart w:id="43" w:name="page44"/>
    <w:bookmarkEnd w:id="43"/>
    <w:p>
      <w:pPr>
        <w:jc w:val="center"/>
        <w:ind w:right="20"/>
        <w:spacing w:after="0" w:line="286" w:lineRule="auto"/>
        <w:rPr>
          <w:sz w:val="20"/>
          <w:szCs w:val="20"/>
          <w:color w:val="auto"/>
        </w:rPr>
      </w:pPr>
      <w:r>
        <w:rPr>
          <w:rFonts w:ascii="Arial" w:cs="Arial" w:eastAsia="Arial" w:hAnsi="Arial"/>
          <w:sz w:val="16"/>
          <w:szCs w:val="16"/>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300" w:hanging="8"/>
        <w:spacing w:after="0" w:line="276" w:lineRule="auto"/>
        <w:tabs>
          <w:tab w:leader="none" w:pos="8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Marqeta acknowledges and agrees that the [***] provided pursuant to this Amendment is [***] of Client’s business, including its ability to perform [***] to Client’s customers and [***]. As such, any breach of Section 2 of this Amendment shall be subject to Marqeta’s indemnification obligations under Section 13(a)(i) of Schedule B.</w:t>
      </w:r>
    </w:p>
    <w:p>
      <w:pPr>
        <w:spacing w:after="0" w:line="203" w:lineRule="exact"/>
        <w:rPr>
          <w:rFonts w:ascii="Arial" w:cs="Arial" w:eastAsia="Arial" w:hAnsi="Arial"/>
          <w:sz w:val="18"/>
          <w:szCs w:val="18"/>
          <w:color w:val="auto"/>
        </w:rPr>
      </w:pPr>
    </w:p>
    <w:p>
      <w:pPr>
        <w:jc w:val="both"/>
        <w:ind w:left="300" w:hanging="8"/>
        <w:spacing w:after="0" w:line="264" w:lineRule="auto"/>
        <w:tabs>
          <w:tab w:leader="none" w:pos="594" w:val="left"/>
        </w:tabs>
        <w:numPr>
          <w:ilvl w:val="0"/>
          <w:numId w:val="37"/>
        </w:numPr>
        <w:rPr>
          <w:rFonts w:ascii="Arial" w:cs="Arial" w:eastAsia="Arial" w:hAnsi="Arial"/>
          <w:sz w:val="18"/>
          <w:szCs w:val="18"/>
          <w:color w:val="222222"/>
        </w:rPr>
      </w:pPr>
      <w:r>
        <w:rPr>
          <w:rFonts w:ascii="Arial" w:cs="Arial" w:eastAsia="Arial" w:hAnsi="Arial"/>
          <w:sz w:val="18"/>
          <w:szCs w:val="18"/>
          <w:color w:val="222222"/>
        </w:rPr>
        <w:t xml:space="preserve">Without limiting any other rights Client has under the Agreement, including under Section 9 of Schedule B, upon at least </w:t>
      </w:r>
      <w:r>
        <w:rPr>
          <w:rFonts w:ascii="Arial" w:cs="Arial" w:eastAsia="Arial" w:hAnsi="Arial"/>
          <w:sz w:val="18"/>
          <w:szCs w:val="18"/>
          <w:color w:val="000000"/>
        </w:rPr>
        <w:t>[***]</w:t>
      </w:r>
      <w:r>
        <w:rPr>
          <w:rFonts w:ascii="Arial" w:cs="Arial" w:eastAsia="Arial" w:hAnsi="Arial"/>
          <w:sz w:val="18"/>
          <w:szCs w:val="18"/>
          <w:color w:val="222222"/>
        </w:rPr>
        <w:t xml:space="preserve"> advance written notice to the other Party, either Party may </w:t>
      </w:r>
      <w:r>
        <w:rPr>
          <w:rFonts w:ascii="Arial" w:cs="Arial" w:eastAsia="Arial" w:hAnsi="Arial"/>
          <w:sz w:val="18"/>
          <w:szCs w:val="18"/>
          <w:color w:val="000000"/>
        </w:rPr>
        <w:t>[***]</w:t>
      </w:r>
      <w:r>
        <w:rPr>
          <w:rFonts w:ascii="Arial" w:cs="Arial" w:eastAsia="Arial" w:hAnsi="Arial"/>
          <w:sz w:val="18"/>
          <w:szCs w:val="18"/>
          <w:color w:val="222222"/>
        </w:rPr>
        <w:t xml:space="preserve"> contemplated by this Amendment at any time following the </w:t>
      </w:r>
      <w:r>
        <w:rPr>
          <w:rFonts w:ascii="Arial" w:cs="Arial" w:eastAsia="Arial" w:hAnsi="Arial"/>
          <w:sz w:val="18"/>
          <w:szCs w:val="18"/>
          <w:color w:val="000000"/>
        </w:rPr>
        <w:t>[***]</w:t>
      </w:r>
      <w:r>
        <w:rPr>
          <w:rFonts w:ascii="Arial" w:cs="Arial" w:eastAsia="Arial" w:hAnsi="Arial"/>
          <w:sz w:val="18"/>
          <w:szCs w:val="18"/>
          <w:color w:val="222222"/>
        </w:rPr>
        <w:t xml:space="preserve">. In the event that either Party exercises such </w:t>
      </w:r>
      <w:r>
        <w:rPr>
          <w:rFonts w:ascii="Arial" w:cs="Arial" w:eastAsia="Arial" w:hAnsi="Arial"/>
          <w:sz w:val="18"/>
          <w:szCs w:val="18"/>
          <w:color w:val="000000"/>
        </w:rPr>
        <w:t>[***]</w:t>
      </w:r>
      <w:r>
        <w:rPr>
          <w:rFonts w:ascii="Arial" w:cs="Arial" w:eastAsia="Arial" w:hAnsi="Arial"/>
          <w:sz w:val="18"/>
          <w:szCs w:val="18"/>
          <w:color w:val="222222"/>
        </w:rPr>
        <w:t xml:space="preserve"> right: (i) Marqeta shall on the effective date of </w:t>
      </w:r>
      <w:r>
        <w:rPr>
          <w:rFonts w:ascii="Arial" w:cs="Arial" w:eastAsia="Arial" w:hAnsi="Arial"/>
          <w:sz w:val="18"/>
          <w:szCs w:val="18"/>
          <w:color w:val="000000"/>
        </w:rPr>
        <w:t>[***]</w:t>
      </w:r>
      <w:r>
        <w:rPr>
          <w:rFonts w:ascii="Arial" w:cs="Arial" w:eastAsia="Arial" w:hAnsi="Arial"/>
          <w:sz w:val="18"/>
          <w:szCs w:val="18"/>
          <w:color w:val="222222"/>
        </w:rPr>
        <w:t xml:space="preserve">; (ii) Client shall </w:t>
      </w:r>
      <w:r>
        <w:rPr>
          <w:rFonts w:ascii="Arial" w:cs="Arial" w:eastAsia="Arial" w:hAnsi="Arial"/>
          <w:sz w:val="18"/>
          <w:szCs w:val="18"/>
          <w:color w:val="000000"/>
        </w:rPr>
        <w:t>[***]</w:t>
      </w:r>
      <w:r>
        <w:rPr>
          <w:rFonts w:ascii="Arial" w:cs="Arial" w:eastAsia="Arial" w:hAnsi="Arial"/>
          <w:sz w:val="18"/>
          <w:szCs w:val="18"/>
          <w:color w:val="222222"/>
        </w:rPr>
        <w:t xml:space="preserve"> Marqeta </w:t>
      </w:r>
      <w:r>
        <w:rPr>
          <w:rFonts w:ascii="Arial" w:cs="Arial" w:eastAsia="Arial" w:hAnsi="Arial"/>
          <w:sz w:val="18"/>
          <w:szCs w:val="18"/>
          <w:color w:val="000000"/>
        </w:rPr>
        <w:t>[***]</w:t>
      </w:r>
      <w:r>
        <w:rPr>
          <w:rFonts w:ascii="Arial" w:cs="Arial" w:eastAsia="Arial" w:hAnsi="Arial"/>
          <w:sz w:val="18"/>
          <w:szCs w:val="18"/>
          <w:color w:val="222222"/>
        </w:rPr>
        <w:t xml:space="preserve"> at the time of </w:t>
      </w:r>
      <w:r>
        <w:rPr>
          <w:rFonts w:ascii="Arial" w:cs="Arial" w:eastAsia="Arial" w:hAnsi="Arial"/>
          <w:sz w:val="18"/>
          <w:szCs w:val="18"/>
          <w:color w:val="000000"/>
        </w:rPr>
        <w:t>[***]</w:t>
      </w:r>
      <w:r>
        <w:rPr>
          <w:rFonts w:ascii="Arial" w:cs="Arial" w:eastAsia="Arial" w:hAnsi="Arial"/>
          <w:sz w:val="18"/>
          <w:szCs w:val="18"/>
          <w:color w:val="222222"/>
        </w:rPr>
        <w:t xml:space="preserve">; and (iii) Client shall </w:t>
      </w:r>
      <w:r>
        <w:rPr>
          <w:rFonts w:ascii="Arial" w:cs="Arial" w:eastAsia="Arial" w:hAnsi="Arial"/>
          <w:sz w:val="18"/>
          <w:szCs w:val="18"/>
          <w:color w:val="000000"/>
        </w:rPr>
        <w:t>[***]</w:t>
      </w:r>
      <w:r>
        <w:rPr>
          <w:rFonts w:ascii="Arial" w:cs="Arial" w:eastAsia="Arial" w:hAnsi="Arial"/>
          <w:sz w:val="18"/>
          <w:szCs w:val="18"/>
          <w:color w:val="222222"/>
        </w:rPr>
        <w:t xml:space="preserve"> to Marqeta in connection </w:t>
      </w:r>
      <w:r>
        <w:rPr>
          <w:rFonts w:ascii="Arial" w:cs="Arial" w:eastAsia="Arial" w:hAnsi="Arial"/>
          <w:sz w:val="18"/>
          <w:szCs w:val="18"/>
          <w:color w:val="000000"/>
        </w:rPr>
        <w:t>[***]</w:t>
      </w:r>
      <w:r>
        <w:rPr>
          <w:rFonts w:ascii="Arial" w:cs="Arial" w:eastAsia="Arial" w:hAnsi="Arial"/>
          <w:sz w:val="18"/>
          <w:szCs w:val="18"/>
          <w:color w:val="222222"/>
        </w:rPr>
        <w:t xml:space="preserve"> thereafter. For clarity, in the event either Party does not exercise its </w:t>
      </w:r>
      <w:r>
        <w:rPr>
          <w:rFonts w:ascii="Arial" w:cs="Arial" w:eastAsia="Arial" w:hAnsi="Arial"/>
          <w:sz w:val="18"/>
          <w:szCs w:val="18"/>
          <w:color w:val="000000"/>
        </w:rPr>
        <w:t>[***]</w:t>
      </w:r>
      <w:r>
        <w:rPr>
          <w:rFonts w:ascii="Arial" w:cs="Arial" w:eastAsia="Arial" w:hAnsi="Arial"/>
          <w:sz w:val="18"/>
          <w:szCs w:val="18"/>
          <w:color w:val="222222"/>
        </w:rPr>
        <w:t xml:space="preserve"> right as set forth in this Section (iii), this Amendment shall automatically </w:t>
      </w:r>
      <w:r>
        <w:rPr>
          <w:rFonts w:ascii="Arial" w:cs="Arial" w:eastAsia="Arial" w:hAnsi="Arial"/>
          <w:sz w:val="18"/>
          <w:szCs w:val="18"/>
          <w:color w:val="000000"/>
        </w:rPr>
        <w:t>[***]</w:t>
      </w:r>
      <w:r>
        <w:rPr>
          <w:rFonts w:ascii="Arial" w:cs="Arial" w:eastAsia="Arial" w:hAnsi="Arial"/>
          <w:sz w:val="18"/>
          <w:szCs w:val="18"/>
          <w:color w:val="222222"/>
        </w:rPr>
        <w:t xml:space="preserve"> or is </w:t>
      </w:r>
      <w:r>
        <w:rPr>
          <w:rFonts w:ascii="Arial" w:cs="Arial" w:eastAsia="Arial" w:hAnsi="Arial"/>
          <w:sz w:val="18"/>
          <w:szCs w:val="18"/>
          <w:color w:val="000000"/>
        </w:rPr>
        <w:t>[***]</w:t>
      </w:r>
      <w:r>
        <w:rPr>
          <w:rFonts w:ascii="Arial" w:cs="Arial" w:eastAsia="Arial" w:hAnsi="Arial"/>
          <w:sz w:val="18"/>
          <w:szCs w:val="18"/>
          <w:color w:val="222222"/>
        </w:rPr>
        <w:t xml:space="preserve"> in accordance with the parties’ </w:t>
      </w:r>
      <w:r>
        <w:rPr>
          <w:rFonts w:ascii="Arial" w:cs="Arial" w:eastAsia="Arial" w:hAnsi="Arial"/>
          <w:sz w:val="18"/>
          <w:szCs w:val="18"/>
          <w:color w:val="000000"/>
        </w:rPr>
        <w:t>[***]</w:t>
      </w:r>
      <w:r>
        <w:rPr>
          <w:rFonts w:ascii="Arial" w:cs="Arial" w:eastAsia="Arial" w:hAnsi="Arial"/>
          <w:sz w:val="18"/>
          <w:szCs w:val="18"/>
          <w:color w:val="222222"/>
        </w:rPr>
        <w:t xml:space="preserve"> rights in the Agreement.”</w:t>
      </w:r>
    </w:p>
    <w:p>
      <w:pPr>
        <w:spacing w:after="0" w:line="200" w:lineRule="exact"/>
        <w:rPr>
          <w:sz w:val="20"/>
          <w:szCs w:val="20"/>
          <w:color w:val="auto"/>
        </w:rPr>
      </w:pPr>
    </w:p>
    <w:p>
      <w:pPr>
        <w:jc w:val="both"/>
        <w:ind w:left="300" w:hanging="8"/>
        <w:spacing w:after="0" w:line="262" w:lineRule="auto"/>
        <w:tabs>
          <w:tab w:leader="none" w:pos="663"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Limited Addendum</w:t>
      </w:r>
      <w:r>
        <w:rPr>
          <w:rFonts w:ascii="Arial" w:cs="Arial" w:eastAsia="Arial" w:hAnsi="Arial"/>
          <w:sz w:val="18"/>
          <w:szCs w:val="18"/>
          <w:color w:val="auto"/>
        </w:rPr>
        <w:t>. This Amendment and the Agreement set forth the Parties’ entire agreement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This Amendment incorporates by reference the terms of the Agreement as if fully set forth in this Amendment, and the specific terms and conditions in this Amendment govern, control, and supersede the Agreement solely with respect to the subject matters covered in this Amendment.</w:t>
      </w:r>
    </w:p>
    <w:p>
      <w:pPr>
        <w:spacing w:after="0" w:line="203" w:lineRule="exact"/>
        <w:rPr>
          <w:rFonts w:ascii="Arial" w:cs="Arial" w:eastAsia="Arial" w:hAnsi="Arial"/>
          <w:sz w:val="18"/>
          <w:szCs w:val="18"/>
          <w:color w:val="auto"/>
        </w:rPr>
      </w:pPr>
    </w:p>
    <w:p>
      <w:pPr>
        <w:ind w:left="640" w:hanging="348"/>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by the Parties electronically and in counterparts.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200"/>
          </w:cols>
          <w:pgMar w:left="360" w:top="125" w:right="339" w:bottom="1440" w:gutter="0" w:footer="0" w:header="0"/>
        </w:sectPr>
      </w:pPr>
    </w:p>
    <w:bookmarkStart w:id="44" w:name="page45"/>
    <w:bookmarkEnd w:id="44"/>
    <w:p>
      <w:pPr>
        <w:jc w:val="center"/>
        <w:ind w:left="360"/>
        <w:spacing w:after="0" w:line="286" w:lineRule="auto"/>
        <w:rPr>
          <w:sz w:val="20"/>
          <w:szCs w:val="20"/>
          <w:color w:val="auto"/>
        </w:rPr>
      </w:pPr>
      <w:r>
        <w:rPr>
          <w:rFonts w:ascii="Arial" w:cs="Arial" w:eastAsia="Arial" w:hAnsi="Arial"/>
          <w:sz w:val="16"/>
          <w:szCs w:val="16"/>
          <w:color w:val="auto"/>
        </w:rPr>
        <w:t>CERTAIN CONFIDENTIAL INFORMATION, MARKED BY [***], HAS BEEN EXCLUDED FROM THIS EXHIBIT BECAUSE (I) IT IS NOT MATERIAL AND (II) THE REGISTRANT CUSTOMARILY AND ACTUALLY TREATS THE INFORMATION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Amendment </w:t>
      </w:r>
      <w:r>
        <w:rPr>
          <w:rFonts w:ascii="Arial" w:cs="Arial" w:eastAsia="Arial" w:hAnsi="Arial"/>
          <w:sz w:val="18"/>
          <w:szCs w:val="18"/>
          <w:color w:val="auto"/>
        </w:rPr>
        <w:t>has been signed by the Parties or their duly authorized representatives as of the Amendment Effective Date.</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Marqeta, Inc.</w:t>
            </w: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Client</w:t>
            </w:r>
          </w:p>
        </w:tc>
      </w:tr>
      <w:tr>
        <w:trPr>
          <w:trHeight w:val="623"/>
        </w:trPr>
        <w:tc>
          <w:tcPr>
            <w:tcW w:w="5620" w:type="dxa"/>
            <w:vAlign w:val="bottom"/>
            <w:gridSpan w:val="2"/>
          </w:tcPr>
          <w:p>
            <w:pPr>
              <w:spacing w:after="0"/>
              <w:rPr>
                <w:sz w:val="20"/>
                <w:szCs w:val="20"/>
                <w:color w:val="auto"/>
              </w:rPr>
            </w:pPr>
            <w:r>
              <w:rPr>
                <w:rFonts w:ascii="Arial" w:cs="Arial" w:eastAsia="Arial" w:hAnsi="Arial"/>
                <w:sz w:val="18"/>
                <w:szCs w:val="18"/>
                <w:color w:val="auto"/>
              </w:rPr>
              <w:t>By: /s/ Todd Pollak</w:t>
            </w:r>
          </w:p>
        </w:tc>
        <w:tc>
          <w:tcPr>
            <w:tcW w:w="1960" w:type="dxa"/>
            <w:vAlign w:val="bottom"/>
            <w:gridSpan w:val="2"/>
          </w:tcPr>
          <w:p>
            <w:pPr>
              <w:spacing w:after="0"/>
              <w:rPr>
                <w:sz w:val="20"/>
                <w:szCs w:val="20"/>
                <w:color w:val="auto"/>
              </w:rPr>
            </w:pPr>
            <w:r>
              <w:rPr>
                <w:rFonts w:ascii="Arial" w:cs="Arial" w:eastAsia="Arial" w:hAnsi="Arial"/>
                <w:sz w:val="18"/>
                <w:szCs w:val="18"/>
                <w:color w:val="auto"/>
              </w:rPr>
              <w:t>By: /s/ [***]</w:t>
            </w:r>
          </w:p>
        </w:tc>
      </w:tr>
      <w:tr>
        <w:trPr>
          <w:trHeight w:val="470"/>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Todd Pollak</w:t>
            </w:r>
          </w:p>
        </w:tc>
        <w:tc>
          <w:tcPr>
            <w:tcW w:w="4140" w:type="dxa"/>
            <w:vAlign w:val="bottom"/>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w:t>
            </w:r>
          </w:p>
        </w:tc>
        <w:tc>
          <w:tcPr>
            <w:tcW w:w="1100" w:type="dxa"/>
            <w:vAlign w:val="bottom"/>
          </w:tcPr>
          <w:p>
            <w:pPr>
              <w:spacing w:after="0"/>
              <w:rPr>
                <w:sz w:val="24"/>
                <w:szCs w:val="24"/>
                <w:color w:val="auto"/>
              </w:rPr>
            </w:pPr>
          </w:p>
        </w:tc>
      </w:tr>
      <w:tr>
        <w:trPr>
          <w:trHeight w:val="459"/>
        </w:trPr>
        <w:tc>
          <w:tcPr>
            <w:tcW w:w="5620" w:type="dxa"/>
            <w:vAlign w:val="bottom"/>
            <w:gridSpan w:val="2"/>
          </w:tcPr>
          <w:p>
            <w:pPr>
              <w:spacing w:after="0"/>
              <w:rPr>
                <w:sz w:val="20"/>
                <w:szCs w:val="20"/>
                <w:color w:val="auto"/>
              </w:rPr>
            </w:pPr>
            <w:r>
              <w:rPr>
                <w:rFonts w:ascii="Arial" w:cs="Arial" w:eastAsia="Arial" w:hAnsi="Arial"/>
                <w:sz w:val="18"/>
                <w:szCs w:val="18"/>
                <w:color w:val="auto"/>
              </w:rPr>
              <w:t>Title: Chief Revenue Officer</w:t>
            </w:r>
          </w:p>
        </w:tc>
        <w:tc>
          <w:tcPr>
            <w:tcW w:w="1960" w:type="dxa"/>
            <w:vAlign w:val="bottom"/>
            <w:gridSpan w:val="2"/>
          </w:tcPr>
          <w:p>
            <w:pPr>
              <w:spacing w:after="0"/>
              <w:rPr>
                <w:sz w:val="20"/>
                <w:szCs w:val="20"/>
                <w:color w:val="auto"/>
              </w:rPr>
            </w:pPr>
            <w:r>
              <w:rPr>
                <w:rFonts w:ascii="Arial" w:cs="Arial" w:eastAsia="Arial" w:hAnsi="Arial"/>
                <w:sz w:val="18"/>
                <w:szCs w:val="18"/>
                <w:color w:val="auto"/>
              </w:rPr>
              <w:t>Title: Lead - Fin Ops</w:t>
            </w:r>
          </w:p>
        </w:tc>
      </w:tr>
      <w:tr>
        <w:trPr>
          <w:trHeight w:val="446"/>
        </w:trPr>
        <w:tc>
          <w:tcPr>
            <w:tcW w:w="5620" w:type="dxa"/>
            <w:vAlign w:val="bottom"/>
            <w:gridSpan w:val="2"/>
          </w:tcPr>
          <w:p>
            <w:pPr>
              <w:spacing w:after="0"/>
              <w:rPr>
                <w:sz w:val="20"/>
                <w:szCs w:val="20"/>
                <w:color w:val="auto"/>
              </w:rPr>
            </w:pPr>
            <w:r>
              <w:rPr>
                <w:rFonts w:ascii="Arial" w:cs="Arial" w:eastAsia="Arial" w:hAnsi="Arial"/>
                <w:sz w:val="18"/>
                <w:szCs w:val="18"/>
                <w:color w:val="auto"/>
              </w:rPr>
              <w:t>Date: February 28, 2025</w:t>
            </w:r>
          </w:p>
        </w:tc>
        <w:tc>
          <w:tcPr>
            <w:tcW w:w="1960" w:type="dxa"/>
            <w:vAlign w:val="bottom"/>
            <w:gridSpan w:val="2"/>
          </w:tcPr>
          <w:p>
            <w:pPr>
              <w:spacing w:after="0"/>
              <w:rPr>
                <w:sz w:val="20"/>
                <w:szCs w:val="20"/>
                <w:color w:val="auto"/>
              </w:rPr>
            </w:pPr>
            <w:r>
              <w:rPr>
                <w:rFonts w:ascii="Arial" w:cs="Arial" w:eastAsia="Arial" w:hAnsi="Arial"/>
                <w:sz w:val="18"/>
                <w:szCs w:val="18"/>
                <w:color w:val="auto"/>
                <w:w w:val="99"/>
              </w:rPr>
              <w:t>Date: February 28, 2025</w:t>
            </w:r>
          </w:p>
        </w:tc>
      </w:tr>
    </w:tbl>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0561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705610" cy="265430"/>
                    </a:xfrm>
                    <a:prstGeom prst="rect">
                      <a:avLst/>
                    </a:prstGeom>
                    <a:noFill/>
                  </pic:spPr>
                </pic:pic>
              </a:graphicData>
            </a:graphic>
          </wp:anchor>
        </w:drawing>
        <w:t>February 24, 2025 Exhibit 10.3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Simon:</w:t>
      </w:r>
    </w:p>
    <w:p>
      <w:pPr>
        <w:spacing w:after="0" w:line="220"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color w:val="auto"/>
        </w:rPr>
        <w:t>This Agreement (the “Agreement”) confirms the agreement between Simon Khalaf (“you”) and Marqeta, Inc. (the “Company”) (jointly referred to as the “Parties” or individually referred to as a “Party”) regarding the separation of your</w:t>
      </w:r>
    </w:p>
    <w:p>
      <w:pPr>
        <w:spacing w:after="0" w:line="2"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22"/>
          <w:szCs w:val="22"/>
          <w:color w:val="auto"/>
        </w:rPr>
        <w:t>employment with the Company. You will have until March 17, 2025 to execute this Agreement and receive the Severance Benefits described below.</w:t>
      </w:r>
    </w:p>
    <w:p>
      <w:pPr>
        <w:jc w:val="center"/>
        <w:spacing w:after="0" w:line="218" w:lineRule="auto"/>
        <w:rPr>
          <w:sz w:val="20"/>
          <w:szCs w:val="20"/>
          <w:color w:val="auto"/>
        </w:rPr>
      </w:pPr>
      <w:r>
        <w:rPr>
          <w:rFonts w:ascii="Times New Roman" w:cs="Times New Roman" w:eastAsia="Times New Roman" w:hAnsi="Times New Roman"/>
          <w:sz w:val="22"/>
          <w:szCs w:val="22"/>
          <w:b w:val="1"/>
          <w:bCs w:val="1"/>
          <w:color w:val="auto"/>
        </w:rPr>
        <w:t>RECITALS</w:t>
      </w:r>
    </w:p>
    <w:p>
      <w:pPr>
        <w:spacing w:after="0" w:line="1" w:lineRule="exact"/>
        <w:rPr>
          <w:sz w:val="20"/>
          <w:szCs w:val="20"/>
          <w:color w:val="auto"/>
        </w:rPr>
      </w:pPr>
    </w:p>
    <w:p>
      <w:pPr>
        <w:ind w:right="420" w:firstLine="1628"/>
        <w:spacing w:after="0" w:line="192" w:lineRule="auto"/>
        <w:rPr>
          <w:sz w:val="20"/>
          <w:szCs w:val="20"/>
          <w:color w:val="auto"/>
        </w:rPr>
      </w:pPr>
      <w:r>
        <w:rPr>
          <w:rFonts w:ascii="Times New Roman" w:cs="Times New Roman" w:eastAsia="Times New Roman" w:hAnsi="Times New Roman"/>
          <w:sz w:val="22"/>
          <w:szCs w:val="22"/>
          <w:color w:val="auto"/>
        </w:rPr>
        <w:t>A. You have been an at-will employee of the Company, and the Parties have determined your employment with the Company is terminating effective March 1, 2025 (the “Separation Date”).</w:t>
      </w:r>
    </w:p>
    <w:p>
      <w:pPr>
        <w:ind w:left="1640"/>
        <w:spacing w:after="0" w:line="205" w:lineRule="auto"/>
        <w:rPr>
          <w:sz w:val="20"/>
          <w:szCs w:val="20"/>
          <w:color w:val="auto"/>
        </w:rPr>
      </w:pPr>
      <w:r>
        <w:rPr>
          <w:rFonts w:ascii="Times New Roman" w:cs="Times New Roman" w:eastAsia="Times New Roman" w:hAnsi="Times New Roman"/>
          <w:sz w:val="22"/>
          <w:szCs w:val="22"/>
          <w:color w:val="auto"/>
        </w:rPr>
        <w:t>B. As of February 24, 2025 (the “Transition Date”), you resigned as the Company’s Chief Executive Officer</w:t>
      </w:r>
    </w:p>
    <w:p>
      <w:pPr>
        <w:spacing w:after="0" w:line="192" w:lineRule="auto"/>
        <w:rPr>
          <w:sz w:val="20"/>
          <w:szCs w:val="20"/>
          <w:color w:val="auto"/>
        </w:rPr>
      </w:pPr>
      <w:r>
        <w:rPr>
          <w:rFonts w:ascii="Times New Roman" w:cs="Times New Roman" w:eastAsia="Times New Roman" w:hAnsi="Times New Roman"/>
          <w:sz w:val="22"/>
          <w:szCs w:val="22"/>
          <w:color w:val="auto"/>
        </w:rPr>
        <w:t>and a member of the Company’s board of directors (the “Board”), and from any other officer or director positions you occupied with the Company or any subsidiary or affiliate of the Company immediately prior to the Transition Date.</w:t>
      </w:r>
    </w:p>
    <w:p>
      <w:pPr>
        <w:ind w:firstLine="1633"/>
        <w:spacing w:after="0" w:line="192" w:lineRule="auto"/>
        <w:rPr>
          <w:sz w:val="20"/>
          <w:szCs w:val="20"/>
          <w:color w:val="auto"/>
        </w:rPr>
      </w:pPr>
      <w:r>
        <w:rPr>
          <w:rFonts w:ascii="Times New Roman" w:cs="Times New Roman" w:eastAsia="Times New Roman" w:hAnsi="Times New Roman"/>
          <w:sz w:val="22"/>
          <w:szCs w:val="22"/>
          <w:color w:val="auto"/>
        </w:rPr>
        <w:t>C. The Parties wish by this Agreement to fully and finally resolve, settle, and compromise any and all issues, disputes, differences, claims, and/or liabilities arising out of or relating to your employment with the Company.</w:t>
      </w:r>
    </w:p>
    <w:p>
      <w:pPr>
        <w:ind w:left="1640"/>
        <w:spacing w:after="0" w:line="201" w:lineRule="auto"/>
        <w:rPr>
          <w:sz w:val="20"/>
          <w:szCs w:val="20"/>
          <w:color w:val="auto"/>
        </w:rPr>
      </w:pPr>
      <w:r>
        <w:rPr>
          <w:rFonts w:ascii="Times New Roman" w:cs="Times New Roman" w:eastAsia="Times New Roman" w:hAnsi="Times New Roman"/>
          <w:sz w:val="21"/>
          <w:szCs w:val="21"/>
          <w:color w:val="auto"/>
        </w:rPr>
        <w:t>In consideration of the foregoing Recitals and of the promises, covenants, and conditions contained herein, the</w:t>
      </w:r>
    </w:p>
    <w:p>
      <w:pPr>
        <w:spacing w:after="0"/>
        <w:rPr>
          <w:sz w:val="20"/>
          <w:szCs w:val="20"/>
          <w:color w:val="auto"/>
        </w:rPr>
      </w:pPr>
      <w:r>
        <w:rPr>
          <w:rFonts w:ascii="Times New Roman" w:cs="Times New Roman" w:eastAsia="Times New Roman" w:hAnsi="Times New Roman"/>
          <w:sz w:val="22"/>
          <w:szCs w:val="22"/>
          <w:color w:val="auto"/>
        </w:rPr>
        <w:t>Parties hereby agree as follows:</w:t>
      </w:r>
    </w:p>
    <w:p>
      <w:pPr>
        <w:spacing w:after="0" w:line="178" w:lineRule="exact"/>
        <w:rPr>
          <w:sz w:val="20"/>
          <w:szCs w:val="20"/>
          <w:color w:val="auto"/>
        </w:rPr>
      </w:pPr>
    </w:p>
    <w:p>
      <w:pPr>
        <w:jc w:val="both"/>
        <w:ind w:firstLine="656"/>
        <w:spacing w:after="0" w:line="203" w:lineRule="auto"/>
        <w:tabs>
          <w:tab w:leader="none" w:pos="8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Consideration. </w:t>
      </w:r>
      <w:r>
        <w:rPr>
          <w:rFonts w:ascii="Times New Roman" w:cs="Times New Roman" w:eastAsia="Times New Roman" w:hAnsi="Times New Roman"/>
          <w:sz w:val="22"/>
          <w:szCs w:val="22"/>
          <w:color w:val="auto"/>
        </w:rPr>
        <w:t>You acknowledge that you will only receive the consideration provided in this Section 1 if you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return all Company property on or before the Effective Date (as defined below); and (ii) have signed this Agreement. Contingent upon your compliance with (i)-(ii) in the foregoing sentence, the Company agrees to provide you with the following consideration: (i) a single lump payment in an amount equal to twelve (12) months of your base salary (which amount is $600,000), plus one hundred (100%) of your annual target bonus in effect as of the Separation Date (which amount is $600,000), for a total payment of $1,200,000, less all applicable withholdings and (ii) reimburse you for the payments you make for COBRA coverage for you and your covered dependents as of the Separation Date for a period of up to the first twelve (12) full calendar months that occur after the Separation Date or until you have secured health insurance coverage through another employer, whichever occurs first ((i)-(ii), the “Severance Benefits”); and (iii) the Company will not contest your eligibility for unemployment insurance benefits following your separation, but reserves the right to truthfully and fully answer any inquiries from any government agency regarding your application for unemployment benefits. The Company will make the separation payment described in clause (i) above on the next standard payday following the Effective Date via direct deposit.</w:t>
      </w:r>
    </w:p>
    <w:p>
      <w:pPr>
        <w:spacing w:after="0" w:line="159" w:lineRule="exact"/>
        <w:rPr>
          <w:rFonts w:ascii="Times New Roman" w:cs="Times New Roman" w:eastAsia="Times New Roman" w:hAnsi="Times New Roman"/>
          <w:sz w:val="22"/>
          <w:szCs w:val="22"/>
          <w:color w:val="auto"/>
        </w:rPr>
      </w:pPr>
    </w:p>
    <w:p>
      <w:pPr>
        <w:jc w:val="both"/>
        <w:ind w:firstLine="656"/>
        <w:spacing w:after="0" w:line="210" w:lineRule="auto"/>
        <w:tabs>
          <w:tab w:leader="none" w:pos="87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Payment of Compensation and Receipt of All Benefits</w:t>
      </w:r>
      <w:r>
        <w:rPr>
          <w:rFonts w:ascii="Times New Roman" w:cs="Times New Roman" w:eastAsia="Times New Roman" w:hAnsi="Times New Roman"/>
          <w:sz w:val="21"/>
          <w:szCs w:val="21"/>
          <w:color w:val="auto"/>
        </w:rPr>
        <w:t>. Between the Transition Date and the Separation Date,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continued your at-will employment with the Company in a non-executive capacity and continued to receive your same compensation and benefits as in effect immediately prior to the Transition Date. You acknowledge and represent that as of the Separation Date, the Company has paid or provided all salary, wages, bonuses, vacation/paid time off, premiums, leaves, housing allowances, relocation costs, interest, severance, outplacement costs, fees, reimbursable expenses, commissions, stock, stock options, vesting, and any and all other benefits and compensation due to you. You acknowledge that, prior to the execution of this Agreement, you were not entitled to receive any additional money from the Company and that the only payments and benefits that you are entitled to receive from the Company in the future are those specified in this Agreement. You acknowledge that (i) your annual bonus for fiscal year 2024 of $504,600, which is based on actual achievement as determined by the Board or its Compensation Committee in its sole discretion, is being paid to you prior to the Separation Date at the same time as bonuses for fiscal year 2024 are being paid to the Company’s other senior executives and (ii) your outstanding Company equity awards that otherwise are scheduled to vest on March 1, 2025 have vested in accordance with their terms on</w:t>
      </w:r>
    </w:p>
    <w:p>
      <w:pPr>
        <w:sectPr>
          <w:pgSz w:w="11900" w:h="16838" w:orient="portrait"/>
          <w:cols w:equalWidth="0" w:num="1">
            <w:col w:w="11240"/>
          </w:cols>
          <w:pgMar w:left="320" w:top="14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1"/>
          <w:szCs w:val="21"/>
          <w:color w:val="auto"/>
        </w:rPr>
        <w:t>such date, and that you will not be entitled to additional vesting of your Company equity awards following the Separation Date, including with respect to any earned, but unvested performance-based restricted stock units granted in fiscal 2024.</w:t>
      </w:r>
    </w:p>
    <w:p>
      <w:pPr>
        <w:spacing w:after="0" w:line="159" w:lineRule="exact"/>
        <w:rPr>
          <w:sz w:val="20"/>
          <w:szCs w:val="20"/>
          <w:color w:val="auto"/>
        </w:rPr>
      </w:pPr>
    </w:p>
    <w:p>
      <w:pPr>
        <w:jc w:val="both"/>
        <w:ind w:firstLine="656"/>
        <w:spacing w:after="0" w:line="215" w:lineRule="auto"/>
        <w:tabs>
          <w:tab w:leader="none" w:pos="8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Your health insurance benefits ceased on the last day of the month in which the Separation Date occurs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set forth in the Company’s applicable benefit plan(s)), subject to your right to continue your health insurance under COBRA (if any). Your participation in all benefits and incidents of employment, including, but not limited to, vesting in stock options, and the accrual of bonuses, vacation, and paid time off, ceased as of the Separation Date.</w:t>
      </w:r>
    </w:p>
    <w:p>
      <w:pPr>
        <w:spacing w:after="0" w:line="159" w:lineRule="exact"/>
        <w:rPr>
          <w:rFonts w:ascii="Times New Roman" w:cs="Times New Roman" w:eastAsia="Times New Roman" w:hAnsi="Times New Roman"/>
          <w:sz w:val="22"/>
          <w:szCs w:val="22"/>
          <w:color w:val="auto"/>
        </w:rPr>
      </w:pPr>
    </w:p>
    <w:p>
      <w:pPr>
        <w:jc w:val="both"/>
        <w:ind w:firstLine="656"/>
        <w:spacing w:after="0" w:line="200" w:lineRule="auto"/>
        <w:tabs>
          <w:tab w:leader="none" w:pos="87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Acknowledgments</w:t>
      </w:r>
      <w:r>
        <w:rPr>
          <w:rFonts w:ascii="Times New Roman" w:cs="Times New Roman" w:eastAsia="Times New Roman" w:hAnsi="Times New Roman"/>
          <w:sz w:val="22"/>
          <w:szCs w:val="22"/>
          <w:color w:val="auto"/>
        </w:rPr>
        <w:t>. By signing this Agreement, you understand and acknowledge: (a) you are receiving the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herein because you have entered into this Agreement and would not otherwise be entitled to receive them otherwise; (b) your signing of and your agreement to this Agreement is knowing and voluntary and that you have not been coerced or threatened; (c) except as otherwise provided in this Agreement, you are not entitled to receive compensation or benefits of any kind from the Company on or after the Separation Date; (d) the Company has properly provided you any leave of absence because of your or a family member’s health condition or military service and you have not been subjected to any improper treatment, conduct or actions due to a request for or taking such leave; (e) you have not suffered or incurred any workplace injury in the course of your employment with the Company on or before the date of your signing this Agreement, other than any injury that was the subject of an injury report or workers’ compensation claim on or before that date; (f) you having had the opportunity to provide the Company with written notice of any and all concerns regarding suspected ethical and compliance issues or violations on the part of the Company or any other Released Party; and (g) you have not filed any complaint, charge, lawsuit, or other legal action that is now pending against the Company or any other Released Party.</w:t>
      </w:r>
    </w:p>
    <w:p>
      <w:pPr>
        <w:spacing w:after="0" w:line="170" w:lineRule="exact"/>
        <w:rPr>
          <w:rFonts w:ascii="Times New Roman" w:cs="Times New Roman" w:eastAsia="Times New Roman" w:hAnsi="Times New Roman"/>
          <w:sz w:val="22"/>
          <w:szCs w:val="22"/>
          <w:color w:val="auto"/>
        </w:rPr>
      </w:pPr>
    </w:p>
    <w:p>
      <w:pPr>
        <w:jc w:val="both"/>
        <w:ind w:firstLine="656"/>
        <w:spacing w:after="0" w:line="198" w:lineRule="auto"/>
        <w:tabs>
          <w:tab w:leader="none" w:pos="86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 of Claims</w:t>
      </w:r>
      <w:r>
        <w:rPr>
          <w:rFonts w:ascii="Times New Roman" w:cs="Times New Roman" w:eastAsia="Times New Roman" w:hAnsi="Times New Roman"/>
          <w:sz w:val="22"/>
          <w:szCs w:val="22"/>
          <w:color w:val="auto"/>
        </w:rPr>
        <w:t>. In consideration for receiving the benefits described above, to the fullest extent permitted by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and your heirs, executors, beneficiaries, successors, assignees, immediate family members, and any other person or entity who could now or hereafter assert a claim in your name or on your behalf waive, release, and forever discharge the Company or its predecessors, successors or past or present subsidiaries, stockholders, directors, officers, former or current employees, consultants, attorneys, agents, assigns and employee benefit plans (“Released Parties”) with respect to any matter, from any and all past, present, or future claims, lawsuits, demands, actions, or causes of actions, whether or not now known (collectively “Claims”), including (without limitation) any matter related to your employment with the Company and/or the termination of that employment. The claims which you agree to release and settle include, but are not limited to: (i) any claim of alleged discrimination, harassment, or retaliation, under Title VII of the Civil Rights Act of 1964, the Civil Rights Act of 1866, the Americans With Disabilities Act, the Equal Pay Act, the Rehabilitation Act, the Genetic Information Nondiscrimination Act, or any other federal, state, or local statute or common law which forbids discrimination, harassment, or retaliation in any aspect of employment; (ii) any claim of negligence, breach of an express or implied employment contract, violation of public policy, wrongful discharge, conspiracy, fraud, infliction of emotional distress, mental or physical injury, or defamation; (iii) any claim for benefits under any of the Company’s employee benefits plans; (iv) any claim for wages, bonuses, commissions, vacation pay, sick pay, severance or compensation of any kind; (v) any claim or violation under any other federal, state, or local statute or common law that may apply in the context of your employment with the Company, including, but not limited to, the Employee Retirement Income Security Act, the False Claims Act, and the federal Worker Adjustment and Retraining Notification Act (WARN Act) or any similar state or local law governing plant closings or mass layoffs; and (vi) any claim for reinstatement, equitable relief, or damages of any kind whatsoever. The scope of what you release in this Agreement includes, but is not limited to, a full general release of any and all Claims or potential Claims that you may have against the Company and/or against any of the other Released Parties, for any and all injunctive relief, declaratory relief, physical injury, personal injury, and injury of any and all other kinds, and/or any and all other kinds of alleged</w:t>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damages, or other monetary obligation, or obligation of any other sort, including but not limited to, any and all compensatory damages, emotional distress damages, punitive damages, costs, attorneys’ fees, and any and all other kinds of damages that are based in whole or in part on any act or omission occurring before this Agreement becomes effective. However, this release covers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only those claims that arose prior to the execution of this Agreement. Execution of this Agreement does not bar any claim that arises hereafter, including (without limitation) a claim for breach of this Agreement. This release of claims does not affect your vested rights in and to any benefit plan to which you may be entitled upon your separation.</w:t>
      </w:r>
    </w:p>
    <w:p>
      <w:pPr>
        <w:spacing w:after="0" w:line="162" w:lineRule="exact"/>
        <w:rPr>
          <w:sz w:val="20"/>
          <w:szCs w:val="20"/>
          <w:color w:val="auto"/>
        </w:rPr>
      </w:pPr>
    </w:p>
    <w:p>
      <w:pPr>
        <w:ind w:firstLine="656"/>
        <w:spacing w:after="0" w:line="231" w:lineRule="auto"/>
        <w:tabs>
          <w:tab w:leader="none" w:pos="87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You expressly waive and release any and all rights and benefits under Section 1542 of the California Civil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Code (or any analogous law of any other state), which reads as follows:</w:t>
      </w:r>
    </w:p>
    <w:p>
      <w:pPr>
        <w:spacing w:after="0" w:line="179" w:lineRule="exact"/>
        <w:rPr>
          <w:sz w:val="20"/>
          <w:szCs w:val="20"/>
          <w:color w:val="auto"/>
        </w:rPr>
      </w:pPr>
    </w:p>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1"/>
          <w:szCs w:val="21"/>
          <w:color w:val="auto"/>
        </w:rPr>
        <w:t>You expressly waive and release any and all rights and benefits under Section 1542 of the California Civil Code (or any analogous law of any other state) with respect to the claims released hereby to the full extent allowed by applicable law. In connection with such waiver and release, you acknowledge and agree that you may hereafter discover claims or facts in addition</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to or different from those which you now know or believe to be true with respect to the matters released herein, but that it is your intention to fully, finally and forever, waive, release and relinquish all such matters and all such claims relative thereto which do exist, may exist, or heretofore have existed. In furtherance of such intention, the release given herein shall be and remain in effect as the full and complete general release of any such additional or different claims or facts relative thereto. However, this release covers only those claims that arose prior to the execution of this Agreement. Execution of this Agreement does not bar any claim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arises hereafter, including (without limitation) a claim for breach of this Agreement.</w:t>
      </w:r>
    </w:p>
    <w:p>
      <w:pPr>
        <w:spacing w:after="0" w:line="165" w:lineRule="exact"/>
        <w:rPr>
          <w:sz w:val="20"/>
          <w:szCs w:val="20"/>
          <w:color w:val="auto"/>
        </w:rPr>
      </w:pPr>
    </w:p>
    <w:p>
      <w:pPr>
        <w:ind w:firstLine="656"/>
        <w:spacing w:after="0" w:line="231" w:lineRule="auto"/>
        <w:tabs>
          <w:tab w:leader="none" w:pos="8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Consideration Period</w:t>
      </w:r>
      <w:r>
        <w:rPr>
          <w:rFonts w:ascii="Times New Roman" w:cs="Times New Roman" w:eastAsia="Times New Roman" w:hAnsi="Times New Roman"/>
          <w:sz w:val="22"/>
          <w:szCs w:val="22"/>
          <w:color w:val="auto"/>
        </w:rPr>
        <w:t>. This Agreement is executed voluntarily and without any duress or undue influence on the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behalf of the Parties hereto, with the full intent of releasing all claims. You acknowledge that:</w:t>
      </w:r>
    </w:p>
    <w:p>
      <w:pPr>
        <w:spacing w:after="0" w:line="165" w:lineRule="exact"/>
        <w:rPr>
          <w:rFonts w:ascii="Times New Roman" w:cs="Times New Roman" w:eastAsia="Times New Roman" w:hAnsi="Times New Roman"/>
          <w:sz w:val="22"/>
          <w:szCs w:val="22"/>
          <w:color w:val="auto"/>
        </w:rPr>
      </w:pPr>
    </w:p>
    <w:p>
      <w:pPr>
        <w:jc w:val="both"/>
        <w:ind w:firstLine="1317"/>
        <w:spacing w:after="0" w:line="213" w:lineRule="auto"/>
        <w:tabs>
          <w:tab w:leader="none" w:pos="1534"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are entitled to a full twenty-one (21) days within which to consider this Agreement before executing it, that no changes to this Agreement, whether material or immaterial, shall restart the twenty-one-day period, and that if you sign this Agreement before this consideration period has ended you freely and voluntarily waive the remainder of the consideration period;</w:t>
      </w:r>
    </w:p>
    <w:p>
      <w:pPr>
        <w:spacing w:after="0" w:line="2" w:lineRule="exact"/>
        <w:rPr>
          <w:rFonts w:ascii="Times New Roman" w:cs="Times New Roman" w:eastAsia="Times New Roman" w:hAnsi="Times New Roman"/>
          <w:sz w:val="21"/>
          <w:szCs w:val="21"/>
          <w:color w:val="auto"/>
        </w:rPr>
      </w:pPr>
    </w:p>
    <w:p>
      <w:pPr>
        <w:ind w:firstLine="1311"/>
        <w:spacing w:after="0" w:line="192" w:lineRule="auto"/>
        <w:tabs>
          <w:tab w:leader="none" w:pos="155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seven days after signing this Agreement to revoke by sending a revocation to hr@marqeta.com and that this Agreement shall not be effective until after the revocation period has expired;</w:t>
      </w:r>
    </w:p>
    <w:p>
      <w:pPr>
        <w:ind w:firstLine="1311"/>
        <w:spacing w:after="0" w:line="192" w:lineRule="auto"/>
        <w:tabs>
          <w:tab w:leader="none" w:pos="153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become effective on the eighth (8th) day after you signed this Agreement, so long as it has been signed by the Parties and has not been revoked by either Party before that date (the “Effective Date”);</w:t>
      </w:r>
    </w:p>
    <w:p>
      <w:pPr>
        <w:ind w:left="1540" w:hanging="229"/>
        <w:spacing w:after="0" w:line="204" w:lineRule="auto"/>
        <w:tabs>
          <w:tab w:leader="none" w:pos="15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carefully read and fully understand all of the provisions of this Agreement;</w:t>
      </w:r>
    </w:p>
    <w:p>
      <w:pPr>
        <w:ind w:right="560" w:firstLine="1317"/>
        <w:spacing w:after="0" w:line="192" w:lineRule="auto"/>
        <w:tabs>
          <w:tab w:leader="none" w:pos="153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been and are in this Agreement advised by the Company to consult an attorney prior to deciding whether to accept this Agreement;</w:t>
      </w:r>
    </w:p>
    <w:p>
      <w:pPr>
        <w:ind w:left="1520" w:hanging="203"/>
        <w:spacing w:after="0" w:line="192" w:lineRule="auto"/>
        <w:tabs>
          <w:tab w:leader="none" w:pos="15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the terms and consequences of this Agreement and of the releases it contains; and</w:t>
      </w:r>
    </w:p>
    <w:p>
      <w:pPr>
        <w:ind w:left="1560" w:hanging="243"/>
        <w:spacing w:after="0"/>
        <w:tabs>
          <w:tab w:leader="none" w:pos="156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are fully aware of the legal and binding effect of this Agreement.</w:t>
      </w:r>
    </w:p>
    <w:p>
      <w:pPr>
        <w:spacing w:after="0" w:line="164" w:lineRule="exact"/>
        <w:rPr>
          <w:rFonts w:ascii="Times New Roman" w:cs="Times New Roman" w:eastAsia="Times New Roman" w:hAnsi="Times New Roman"/>
          <w:sz w:val="22"/>
          <w:szCs w:val="22"/>
          <w:color w:val="auto"/>
        </w:rPr>
      </w:pPr>
    </w:p>
    <w:p>
      <w:pPr>
        <w:jc w:val="both"/>
        <w:ind w:firstLine="656"/>
        <w:spacing w:after="0" w:line="222" w:lineRule="auto"/>
        <w:tabs>
          <w:tab w:leader="none" w:pos="8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to Engage in Protected Activity</w:t>
      </w:r>
      <w:r>
        <w:rPr>
          <w:rFonts w:ascii="Times New Roman" w:cs="Times New Roman" w:eastAsia="Times New Roman" w:hAnsi="Times New Roman"/>
          <w:sz w:val="22"/>
          <w:szCs w:val="22"/>
          <w:color w:val="auto"/>
        </w:rPr>
        <w:t>. Nothing in this Agreement shall be construed to waive any right provided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that is not subject to waiver by private agreement. It is also expressly understood that nothing in this Agreement shall prohibit you from bringing any</w:t>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1"/>
          <w:szCs w:val="21"/>
          <w:color w:val="auto"/>
        </w:rPr>
        <w:t>complaint, claim or action seeking to challenge the validity of, or alleging a breach of this Agreement by the Company. In addition, nothing in this Agreement including but not limited to the acknowledgments, release of claims, proprietary information, confidentiality, cooperation, and non-disparagement provisions waives your right to testify in an administrative, legislative, or</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judicial proceeding concerning alleged criminal conduct or alleged sexual harassment on the part of the Company, or on the part of the agents or employees of the Company, when you have been required or requested to attend such a proceeding pursuant to a court order, subpoena, or written request from an administrative agency or the legislature. Further, you agree and acknowledge that nothing contained in this Agreement will prevent you from filing a charge or complaint with, reporting possible violations of any law or regulation, providing information or documents to, and/or participating in any investigation or proceeding conducted</w:t>
      </w:r>
    </w:p>
    <w:p>
      <w:pPr>
        <w:spacing w:after="0" w:line="5"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22"/>
          <w:szCs w:val="22"/>
          <w:color w:val="auto"/>
        </w:rPr>
        <w:t>by, the National Labor Relations Board, the Equal Employment Opportunity Commission, the Securities and Exchange Commission, and/or any governmental authority charged with the enforcement of any laws, provided that by signing this Agreement, you are waiving all rights to individual relief from Released Parties (including but not limited to backpay, front pay, reinstatement, or other legal or equitable relief) based on claims asserted in such a charge or complaint, or asserted by any third-party on your behalf, except where such a waiver of individual relief is prohibited and except for any right you may have to receive a payment from a government agency (and not the Company) for information provided to a government agency.</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Additionally, nothing in this Agreement prevents a non-management, non-supervisory employees from engaging in protected concerted activity under §7 of the NLRA or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except where the information was entrusted to the employee in confidence by the Company as part of the employee’s job duties.</w:t>
      </w:r>
    </w:p>
    <w:p>
      <w:pPr>
        <w:spacing w:after="0" w:line="5"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22"/>
          <w:szCs w:val="22"/>
          <w:color w:val="auto"/>
        </w:rPr>
        <w:t>Notwithstanding your confidentiality and non-disclosure obligations in this Agreement and otherwise, you understand that as provided by the Federal Defend Trade Secrets Act, you will not be held criminally or civilly liable under any federal or state trade secret law for the disclosure of a trade 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76" w:lineRule="exact"/>
        <w:rPr>
          <w:sz w:val="20"/>
          <w:szCs w:val="20"/>
          <w:color w:val="auto"/>
        </w:rPr>
      </w:pPr>
    </w:p>
    <w:p>
      <w:pPr>
        <w:jc w:val="both"/>
        <w:ind w:firstLine="656"/>
        <w:spacing w:after="0" w:line="218" w:lineRule="auto"/>
        <w:tabs>
          <w:tab w:leader="none" w:pos="86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Admission</w:t>
      </w:r>
      <w:r>
        <w:rPr>
          <w:rFonts w:ascii="Times New Roman" w:cs="Times New Roman" w:eastAsia="Times New Roman" w:hAnsi="Times New Roman"/>
          <w:sz w:val="22"/>
          <w:szCs w:val="22"/>
          <w:color w:val="auto"/>
        </w:rPr>
        <w:t>. Nothing contained herein shall be construed as an admission of wrongdoing, violation of any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or local law, or violation of any Company policy or procedure by either you or the Company or any of its divisions, affiliates or any of their respective officers, directors, or employees.</w:t>
      </w:r>
    </w:p>
    <w:p>
      <w:pPr>
        <w:spacing w:after="0" w:line="161" w:lineRule="exact"/>
        <w:rPr>
          <w:rFonts w:ascii="Times New Roman" w:cs="Times New Roman" w:eastAsia="Times New Roman" w:hAnsi="Times New Roman"/>
          <w:sz w:val="22"/>
          <w:szCs w:val="22"/>
          <w:color w:val="auto"/>
        </w:rPr>
      </w:pPr>
    </w:p>
    <w:p>
      <w:pPr>
        <w:jc w:val="both"/>
        <w:ind w:firstLine="656"/>
        <w:spacing w:after="0" w:line="203" w:lineRule="auto"/>
        <w:tabs>
          <w:tab w:leader="none" w:pos="99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Agreements</w:t>
      </w:r>
      <w:r>
        <w:rPr>
          <w:rFonts w:ascii="Times New Roman" w:cs="Times New Roman" w:eastAsia="Times New Roman" w:hAnsi="Times New Roman"/>
          <w:sz w:val="22"/>
          <w:szCs w:val="22"/>
          <w:color w:val="auto"/>
        </w:rPr>
        <w:t>. At all times in the future, you will remain bound by your At-Will Employment, Confidential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Invention Assignment, and Arbitration Agreement with the Company that you signed on May 25, 2022 (to the extent applicable) (the “Confidentiality Agreement”). Any prior agreements between or directly involving you and the Company are superseded by this Agreement, except (i) any prior agreements related to arbitration, inventions, business ideas, confidentiality of corporate information, and unfair competition remain intact, (ii) the Indemnification Agreement between the Company and you as in effect immediately prior to the Separation Date, and (iii) the Company’s Compensation Recovery Policy, as it shall hereinafter be amended in accordance with applicable law. This Agreement may be modified only in a written document signed by you and a duly authorized officer of the Company. You represent that you have not relied upon any representations or statement in entering into this Agreement which are not specifically set forth in this Agreement.</w:t>
      </w:r>
    </w:p>
    <w:p>
      <w:pPr>
        <w:spacing w:after="0" w:line="166" w:lineRule="exact"/>
        <w:rPr>
          <w:rFonts w:ascii="Times New Roman" w:cs="Times New Roman" w:eastAsia="Times New Roman" w:hAnsi="Times New Roman"/>
          <w:sz w:val="22"/>
          <w:szCs w:val="22"/>
          <w:color w:val="auto"/>
        </w:rPr>
      </w:pPr>
    </w:p>
    <w:p>
      <w:pPr>
        <w:jc w:val="both"/>
        <w:ind w:firstLine="656"/>
        <w:spacing w:after="0" w:line="218" w:lineRule="auto"/>
        <w:tabs>
          <w:tab w:leader="none" w:pos="10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term of this Agreement, with the exception of Section 5, is held to be invalid, void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the remainder of this Agreement will remain in full force and effect and will in no way be affected, and the parties will use their best efforts to find an alternate way to achieve the same result.</w:t>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56"/>
        <w:spacing w:after="0" w:line="205" w:lineRule="auto"/>
        <w:tabs>
          <w:tab w:leader="none" w:pos="97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Reliance</w:t>
      </w:r>
      <w:r>
        <w:rPr>
          <w:rFonts w:ascii="Times New Roman" w:cs="Times New Roman" w:eastAsia="Times New Roman" w:hAnsi="Times New Roman"/>
          <w:sz w:val="22"/>
          <w:szCs w:val="22"/>
          <w:color w:val="auto"/>
        </w:rPr>
        <w:t>. The parties represent and acknowledge that, in executing this Agreement, they do not rely and have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relied upon any representation or statement made by any of the parties or by any of the parties’ agents, attorneys, or representatives with regard to the subject matter, basis, or effect of this Agreement or otherwise, other than those specifically stated in this written Agreement. In exchange for severance and other promises contained in this Agreement, you are entering into this Agreement voluntarily, deliberately, and with all information needed to make an informed decision to enter this Agreement, and you agree that have been given the opportunity to ask any questions regarding this Agreement and given notice of and an opportunity to retain an attorney or is already represented by an attorney.</w:t>
      </w:r>
    </w:p>
    <w:p>
      <w:pPr>
        <w:spacing w:after="0" w:line="161" w:lineRule="exact"/>
        <w:rPr>
          <w:rFonts w:ascii="Times New Roman" w:cs="Times New Roman" w:eastAsia="Times New Roman" w:hAnsi="Times New Roman"/>
          <w:sz w:val="22"/>
          <w:szCs w:val="22"/>
          <w:color w:val="auto"/>
        </w:rPr>
      </w:pPr>
    </w:p>
    <w:p>
      <w:pPr>
        <w:jc w:val="both"/>
        <w:ind w:firstLine="656"/>
        <w:spacing w:after="0" w:line="210" w:lineRule="auto"/>
        <w:tabs>
          <w:tab w:leader="none" w:pos="97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Notwithstanding anything herein to the contrary, (i) if at the time of your termination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you are a “specified employee” as defined in Section 409A of the Code (and any related regulations or other pronouncements there under)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you) until the date that is six months following your termination of employment with the Company (or the earliest date as is permitted under Section 409A of the Code) and (ii) if any other payments of money or other benefits due to you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Company, that does not cause such an accelerated or additional tax. Each payment made under this Agreement shall be designated as a “separate payment” within the meaning of Section 409A of the Code. The Company shall consult with you in good faith regarding the implementation of the provisions of this Section; provided that neither the Company nor any the Released Parties shall have any liability to you with respect thereto.</w:t>
      </w:r>
    </w:p>
    <w:p>
      <w:pPr>
        <w:spacing w:after="0" w:line="160" w:lineRule="exact"/>
        <w:rPr>
          <w:rFonts w:ascii="Times New Roman" w:cs="Times New Roman" w:eastAsia="Times New Roman" w:hAnsi="Times New Roman"/>
          <w:sz w:val="21"/>
          <w:szCs w:val="21"/>
          <w:color w:val="auto"/>
        </w:rPr>
      </w:pPr>
    </w:p>
    <w:p>
      <w:pPr>
        <w:jc w:val="both"/>
        <w:ind w:firstLine="656"/>
        <w:spacing w:after="0" w:line="205" w:lineRule="auto"/>
        <w:tabs>
          <w:tab w:leader="none" w:pos="97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Disparagement</w:t>
      </w:r>
      <w:r>
        <w:rPr>
          <w:rFonts w:ascii="Times New Roman" w:cs="Times New Roman" w:eastAsia="Times New Roman" w:hAnsi="Times New Roman"/>
          <w:sz w:val="22"/>
          <w:szCs w:val="22"/>
          <w:color w:val="auto"/>
        </w:rPr>
        <w:t>. Without otherwise limiting your right to participate in protected activity as set forth below,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that you will not make any negative or disparaging statements (orally or in writing) about the Company or its directors, officers, investors, customers, employees, products, services or business practices, except as required by law. This Paragraph does not, in any way, restrict or impede you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You shall promptly provide written notice of any such order to Company’s Legal Counsel (</w:t>
      </w:r>
      <w:r>
        <w:rPr>
          <w:rFonts w:ascii="Times New Roman" w:cs="Times New Roman" w:eastAsia="Times New Roman" w:hAnsi="Times New Roman"/>
          <w:sz w:val="22"/>
          <w:szCs w:val="22"/>
          <w:u w:val="single" w:color="auto"/>
          <w:color w:val="1155CC"/>
        </w:rPr>
        <w:t>notices@marqeta.com</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auto"/>
        </w:rPr>
      </w:pPr>
    </w:p>
    <w:p>
      <w:pPr>
        <w:jc w:val="both"/>
        <w:ind w:firstLine="656"/>
        <w:spacing w:after="0" w:line="213" w:lineRule="auto"/>
        <w:tabs>
          <w:tab w:leader="none" w:pos="99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 Cooperation</w:t>
      </w:r>
      <w:r>
        <w:rPr>
          <w:rFonts w:ascii="Times New Roman" w:cs="Times New Roman" w:eastAsia="Times New Roman" w:hAnsi="Times New Roman"/>
          <w:sz w:val="21"/>
          <w:szCs w:val="21"/>
          <w:color w:val="auto"/>
        </w:rPr>
        <w:t>. Subject to the Protected Activity provision, you agree that you will not knowingly encourage,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counsel, or assist any attorneys or their clients in the presentation or prosecution of any disputes, differences, grievances, claims, charges, or complaints by any third party against any of the Released Parties, unless under a subpoena or other court order to do so or upon written request from an administrative agency or the legislature or as related directly to the ADEA waiver in this Agreement. You agree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Released Parties, you shall state no more than that you cannot provide counsel or assistance.</w:t>
      </w:r>
    </w:p>
    <w:p>
      <w:pPr>
        <w:spacing w:after="0" w:line="163" w:lineRule="exact"/>
        <w:rPr>
          <w:rFonts w:ascii="Times New Roman" w:cs="Times New Roman" w:eastAsia="Times New Roman" w:hAnsi="Times New Roman"/>
          <w:sz w:val="21"/>
          <w:szCs w:val="21"/>
          <w:color w:val="auto"/>
        </w:rPr>
      </w:pPr>
    </w:p>
    <w:p>
      <w:pPr>
        <w:jc w:val="both"/>
        <w:ind w:firstLine="656"/>
        <w:spacing w:after="0" w:line="218" w:lineRule="auto"/>
        <w:tabs>
          <w:tab w:leader="none" w:pos="98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EXCEPT AS PROHIBITED BY LAW, THE PARTIES AGREE THAT ANY AND ALL DISPUTES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OUT OF THE TERMS OF THIS AGREEMENT, THEIR INTERPRETATION, YOUR EMPLOYMENT WITH THE COMPANY OR THE</w:t>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2"/>
          <w:szCs w:val="22"/>
          <w:color w:val="auto"/>
        </w:rPr>
        <w:t>TERMS THEREOF, OR ANY OF THE MATTERS HEREIN RELEASED, SHALL BE SUBJECT TO ARBITRATION UNDER THE FEDERAL ARBITRATION ACT (THE “FAA”) AND THAT THE FAA SHALL GOVERN AND APPLY TO THIS ARBITRATION AGREEMENT WITH FULL FORCE AND EFFECT; HOWEVER, WITHOUT LIMITING ANY</w:t>
      </w:r>
    </w:p>
    <w:p>
      <w:pPr>
        <w:spacing w:after="0" w:line="3"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PROVISIONS OF THE FAA, A MOTION OR PETITION OR ACTION TO COMPEL ARBITRATION MAY ALSO BE BROUGHT IN STATE COURT UNDER THE PROCEDURAL PROVISIONS OF SUCH STATE’S LAWS RELATING TO MOTIONS OR PETITIONS OR ACTIONS TO COMPEL ARBITRATION. YOU AGREES THAT, TO THE FULLEST EXTENT PERMITTED BY LAW, YOU MAY BRING ANY SUCH ARBITRATION PROCEEDING ONLY IN YOUR INDIVIDUAL CAPACITY. ANY ARBITRATION WILL OCCUR IN ALAMEDA COUNTY, CALIFORNIA BEFORE JAMS,</w:t>
      </w:r>
    </w:p>
    <w:p>
      <w:pPr>
        <w:spacing w:after="0" w:line="5"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w:t>
      </w:r>
    </w:p>
    <w:p>
      <w:pPr>
        <w:spacing w:after="0" w:line="3"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w:t>
      </w:r>
    </w:p>
    <w:p>
      <w:pPr>
        <w:spacing w:after="0" w:line="5"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22"/>
          <w:szCs w:val="22"/>
          <w:color w:val="auto"/>
        </w:rPr>
        <w:t>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w:t>
      </w:r>
    </w:p>
    <w:p>
      <w:pPr>
        <w:spacing w:after="0" w:line="4"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SECTION CONFLICT WITH ANY OTHER ARBITRATION AGREEMENT BETWEEN THE PARTIES, THE PARTIES AGREE THAT THIS ARBITRATION AGREEMENT IN THIS SECTION SHALL GOVERN.</w:t>
      </w:r>
    </w:p>
    <w:p>
      <w:pPr>
        <w:spacing w:after="0" w:line="160" w:lineRule="exact"/>
        <w:rPr>
          <w:sz w:val="20"/>
          <w:szCs w:val="20"/>
          <w:color w:val="auto"/>
        </w:rPr>
      </w:pPr>
    </w:p>
    <w:p>
      <w:pPr>
        <w:jc w:val="both"/>
        <w:ind w:firstLine="656"/>
        <w:spacing w:after="0" w:line="214" w:lineRule="auto"/>
        <w:tabs>
          <w:tab w:leader="none" w:pos="98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Acknowledgment of Waiver of Claims under ADEA</w:t>
      </w:r>
      <w:r>
        <w:rPr>
          <w:rFonts w:ascii="Times New Roman" w:cs="Times New Roman" w:eastAsia="Times New Roman" w:hAnsi="Times New Roman"/>
          <w:sz w:val="21"/>
          <w:szCs w:val="21"/>
          <w:color w:val="auto"/>
        </w:rPr>
        <w:t>. You understand and acknowledge that you are waiving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releasing any rights you may have under the Age Discrimination in Employment Act of 1967 (“ADEA”). You further acknowledge that this Agreement and the waiver and release reflected in this Section has been executed voluntarily and without any duress or undue influence on the part or behalf of the Parties hereto, with the full intent of releasing all claims, and that you:</w:t>
      </w:r>
    </w:p>
    <w:p>
      <w:pPr>
        <w:spacing w:after="0" w:line="3" w:lineRule="exact"/>
        <w:rPr>
          <w:rFonts w:ascii="Times New Roman" w:cs="Times New Roman" w:eastAsia="Times New Roman" w:hAnsi="Times New Roman"/>
          <w:sz w:val="21"/>
          <w:szCs w:val="21"/>
          <w:color w:val="auto"/>
        </w:rPr>
      </w:pPr>
    </w:p>
    <w:p>
      <w:pPr>
        <w:ind w:left="660"/>
        <w:spacing w:after="0" w:line="21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have had more than twenty-one days to consider this Agreement;</w:t>
      </w:r>
    </w:p>
    <w:p>
      <w:pPr>
        <w:ind w:right="20" w:firstLine="648"/>
        <w:spacing w:after="0" w:line="1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have seven days after signing this Agreement to revoke by sending a revocation to hr@marqeta.com and that this Agreement shall not be effective until after the revocation period has expired;</w:t>
      </w:r>
    </w:p>
    <w:p>
      <w:pPr>
        <w:spacing w:after="0" w:line="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have carefully read and fully understand all of the provisions of this Agreement;</w:t>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hanging="244"/>
        <w:spacing w:after="0"/>
        <w:tabs>
          <w:tab w:leader="none" w:pos="9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consult an attorney prior to executing this Agreement;</w:t>
      </w:r>
    </w:p>
    <w:p>
      <w:pPr>
        <w:ind w:left="880" w:hanging="224"/>
        <w:spacing w:after="0" w:line="192" w:lineRule="auto"/>
        <w:tabs>
          <w:tab w:leader="none" w:pos="8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the terms and consequences of this Agreement and of the releases it contains;</w:t>
      </w:r>
    </w:p>
    <w:p>
      <w:pPr>
        <w:ind w:left="860" w:hanging="204"/>
        <w:spacing w:after="0" w:line="192" w:lineRule="auto"/>
        <w:tabs>
          <w:tab w:leader="none" w:pos="8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fully aware of the legal and binding effect of this Agreement; and</w:t>
      </w:r>
    </w:p>
    <w:p>
      <w:pPr>
        <w:jc w:val="both"/>
        <w:ind w:firstLine="656"/>
        <w:spacing w:after="0" w:line="214" w:lineRule="auto"/>
        <w:tabs>
          <w:tab w:leader="none" w:pos="9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that nothing in this Agreement prevents or precludes you from challenging or seeking a determination in good faith of the validity of this waiver under the ADEA, nor does it impose any condition precedent, penalties, or costs for doing so, unless specifically authorized by federal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agree that changes, whether material or immaterial, do not restart the running of the 21-day period.</w:t>
      </w:r>
    </w:p>
    <w:p>
      <w:pPr>
        <w:spacing w:after="0" w:line="202"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Acknowledgments and Representations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656"/>
        <w:spacing w:after="0" w:line="203" w:lineRule="auto"/>
        <w:tabs>
          <w:tab w:leader="none" w:pos="87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receipt of your final paycheck, you agree you have received all compensation or wages owed to you as a result of your employment with the Company.</w:t>
      </w:r>
    </w:p>
    <w:p>
      <w:pPr>
        <w:spacing w:after="0" w:line="1" w:lineRule="exact"/>
        <w:rPr>
          <w:rFonts w:ascii="Times New Roman" w:cs="Times New Roman" w:eastAsia="Times New Roman" w:hAnsi="Times New Roman"/>
          <w:sz w:val="22"/>
          <w:szCs w:val="22"/>
          <w:color w:val="auto"/>
        </w:rPr>
      </w:pPr>
    </w:p>
    <w:p>
      <w:pPr>
        <w:ind w:right="820" w:firstLine="656"/>
        <w:spacing w:after="0" w:line="198" w:lineRule="auto"/>
        <w:tabs>
          <w:tab w:leader="none" w:pos="88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you have submitted and been reimbursed for all business expenses incurred by you during your employment.</w:t>
      </w:r>
    </w:p>
    <w:p>
      <w:pPr>
        <w:spacing w:after="0" w:line="1" w:lineRule="exact"/>
        <w:rPr>
          <w:rFonts w:ascii="Times New Roman" w:cs="Times New Roman" w:eastAsia="Times New Roman" w:hAnsi="Times New Roman"/>
          <w:sz w:val="22"/>
          <w:szCs w:val="22"/>
          <w:color w:val="auto"/>
        </w:rPr>
      </w:pPr>
    </w:p>
    <w:p>
      <w:pPr>
        <w:ind w:right="80" w:firstLine="656"/>
        <w:spacing w:after="0" w:line="194" w:lineRule="auto"/>
        <w:tabs>
          <w:tab w:leader="none" w:pos="87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represent that you have returned to the Company all property that belongs to the Company, including (without limitation) electronic or physical copies of documents that belong to the Company and files stored on your computer(s) that contain information belonging to the Company, identification cards or badges, access codes or devices, keys, laptops, computers, telephones, mobile phones, hand-held electronic devices, and credit cards. You acknowledge that all documents compiled by you or made available to you during the term of your employment with the Company concerning its business or customers is the Company’s property, whether or not confidential, and has been returned by you to the Company.</w:t>
      </w:r>
    </w:p>
    <w:p>
      <w:pPr>
        <w:spacing w:after="0" w:line="1" w:lineRule="exact"/>
        <w:rPr>
          <w:rFonts w:ascii="Times New Roman" w:cs="Times New Roman" w:eastAsia="Times New Roman" w:hAnsi="Times New Roman"/>
          <w:sz w:val="22"/>
          <w:szCs w:val="22"/>
          <w:color w:val="auto"/>
        </w:rPr>
      </w:pPr>
    </w:p>
    <w:p>
      <w:pPr>
        <w:ind w:left="900" w:hanging="244"/>
        <w:spacing w:after="0" w:line="192" w:lineRule="auto"/>
        <w:tabs>
          <w:tab w:leader="none" w:pos="9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represent that you have not signed this Agreement until on or after your date of separation from the Company.</w:t>
      </w:r>
    </w:p>
    <w:p>
      <w:pPr>
        <w:jc w:val="both"/>
        <w:ind w:firstLine="656"/>
        <w:spacing w:after="0" w:line="208" w:lineRule="auto"/>
        <w:tabs>
          <w:tab w:leader="none" w:pos="9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Transition Date, you agree that you resigned as the Company’s Chief Executive Officer, as a member of the Board, and from any officer or director positions you occupied with the Company or any subsidiary or affiliate of the Company immediately prior to the Transition Date, and agree to execute any necessary documents or other forms necessary to effectuate or document your resignation as a matter of local, state, federal, or international law.</w:t>
      </w:r>
    </w:p>
    <w:p>
      <w:pPr>
        <w:spacing w:after="0" w:line="162" w:lineRule="exact"/>
        <w:rPr>
          <w:sz w:val="20"/>
          <w:szCs w:val="20"/>
          <w:color w:val="auto"/>
        </w:rPr>
      </w:pPr>
    </w:p>
    <w:p>
      <w:pPr>
        <w:jc w:val="both"/>
        <w:ind w:firstLine="656"/>
        <w:spacing w:after="0" w:line="218" w:lineRule="auto"/>
        <w:tabs>
          <w:tab w:leader="none" w:pos="99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Unemployment Insurance</w:t>
      </w:r>
      <w:r>
        <w:rPr>
          <w:rFonts w:ascii="Times New Roman" w:cs="Times New Roman" w:eastAsia="Times New Roman" w:hAnsi="Times New Roman"/>
          <w:sz w:val="22"/>
          <w:szCs w:val="22"/>
          <w:color w:val="auto"/>
        </w:rPr>
        <w:t>. The Company will not contest your eligibility for unemployment insurance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your separation, but reserves the right to truthfully and fully answer any inquiries from any government agency regarding your application for unemployment benefits.</w:t>
      </w:r>
    </w:p>
    <w:p>
      <w:pPr>
        <w:spacing w:after="0" w:line="161" w:lineRule="exact"/>
        <w:rPr>
          <w:rFonts w:ascii="Times New Roman" w:cs="Times New Roman" w:eastAsia="Times New Roman" w:hAnsi="Times New Roman"/>
          <w:sz w:val="22"/>
          <w:szCs w:val="22"/>
          <w:color w:val="auto"/>
        </w:rPr>
      </w:pPr>
    </w:p>
    <w:p>
      <w:pPr>
        <w:jc w:val="both"/>
        <w:ind w:firstLine="656"/>
        <w:spacing w:after="0" w:line="215" w:lineRule="auto"/>
        <w:tabs>
          <w:tab w:leader="none" w:pos="99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Breach</w:t>
      </w:r>
      <w:r>
        <w:rPr>
          <w:rFonts w:ascii="Times New Roman" w:cs="Times New Roman" w:eastAsia="Times New Roman" w:hAnsi="Times New Roman"/>
          <w:sz w:val="22"/>
          <w:szCs w:val="22"/>
          <w:color w:val="auto"/>
        </w:rPr>
        <w:t>. You acknowledge and agree that any material breach of this Agreement, unless such breach constitutes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action by you challenging or seeking a determination in good faith of the validity of the waiver herein under the ADEA, or of any provision of the Confidentiality Agreement shall entitle the Company immediately to recover and/or cease providing the consideration provided to you under this Agreement and to obtain damages, except as provided by law</w:t>
      </w:r>
      <w:r>
        <w:rPr>
          <w:rFonts w:ascii="Times New Roman" w:cs="Times New Roman" w:eastAsia="Times New Roman" w:hAnsi="Times New Roman"/>
          <w:sz w:val="22"/>
          <w:szCs w:val="22"/>
          <w:b w:val="1"/>
          <w:bCs w:val="1"/>
          <w:color w:val="auto"/>
        </w:rPr>
        <w:t>.</w:t>
      </w:r>
    </w:p>
    <w:p>
      <w:pPr>
        <w:spacing w:after="0" w:line="159" w:lineRule="exact"/>
        <w:rPr>
          <w:rFonts w:ascii="Times New Roman" w:cs="Times New Roman" w:eastAsia="Times New Roman" w:hAnsi="Times New Roman"/>
          <w:sz w:val="22"/>
          <w:szCs w:val="22"/>
          <w:color w:val="auto"/>
        </w:rPr>
      </w:pPr>
    </w:p>
    <w:p>
      <w:pPr>
        <w:jc w:val="both"/>
        <w:ind w:firstLine="656"/>
        <w:spacing w:after="0" w:line="205" w:lineRule="auto"/>
        <w:tabs>
          <w:tab w:leader="none" w:pos="10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Post-Employment Cooperation</w:t>
      </w:r>
      <w:r>
        <w:rPr>
          <w:rFonts w:ascii="Times New Roman" w:cs="Times New Roman" w:eastAsia="Times New Roman" w:hAnsi="Times New Roman"/>
          <w:sz w:val="22"/>
          <w:szCs w:val="22"/>
          <w:color w:val="auto"/>
        </w:rPr>
        <w:t>. Following the Separation Date, you agree to cooperate with and assist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including but not limited to providing prompt, accurate and complete responses to questions, producing requested documents, submitting requested declarations attesting to facts known by you, and preparing for, submitting to and attending any deposition or trial in which their testimony is requested by the Company in any action against the Company. The Company will pay you the hourly rate of Four Hundred Dollars ($400.00) per hour, plus reasonable and necessary expenses for any services or travel after the Separation Date upon your submission of invoices and receipts for any and all pre-approved services and expenses.</w:t>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This Agreement will be construed under the law of the state of California.</w:t>
      </w:r>
    </w:p>
    <w:p>
      <w:pPr>
        <w:spacing w:after="0" w:line="192" w:lineRule="exact"/>
        <w:rPr>
          <w:rFonts w:ascii="Times New Roman" w:cs="Times New Roman" w:eastAsia="Times New Roman" w:hAnsi="Times New Roman"/>
          <w:sz w:val="22"/>
          <w:szCs w:val="22"/>
          <w:color w:val="auto"/>
        </w:rPr>
      </w:pPr>
    </w:p>
    <w:p>
      <w:pPr>
        <w:ind w:right="160" w:firstLine="656"/>
        <w:spacing w:after="0" w:line="231" w:lineRule="auto"/>
        <w:tabs>
          <w:tab w:leader="none" w:pos="9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Waiver</w:t>
      </w:r>
      <w:r>
        <w:rPr>
          <w:rFonts w:ascii="Times New Roman" w:cs="Times New Roman" w:eastAsia="Times New Roman" w:hAnsi="Times New Roman"/>
          <w:sz w:val="22"/>
          <w:szCs w:val="22"/>
          <w:color w:val="auto"/>
        </w:rPr>
        <w:t>. Failure by any party to enforce any rights or remedies provided in this Agreement shall not be deemed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of those rights.</w:t>
      </w:r>
    </w:p>
    <w:p>
      <w:pPr>
        <w:spacing w:after="0" w:line="174" w:lineRule="exact"/>
        <w:rPr>
          <w:rFonts w:ascii="Times New Roman" w:cs="Times New Roman" w:eastAsia="Times New Roman" w:hAnsi="Times New Roman"/>
          <w:sz w:val="22"/>
          <w:szCs w:val="22"/>
          <w:color w:val="auto"/>
        </w:rPr>
      </w:pPr>
    </w:p>
    <w:p>
      <w:pPr>
        <w:jc w:val="both"/>
        <w:ind w:firstLine="656"/>
        <w:spacing w:after="0" w:line="218" w:lineRule="auto"/>
        <w:tabs>
          <w:tab w:leader="none" w:pos="9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Execution</w:t>
      </w:r>
      <w:r>
        <w:rPr>
          <w:rFonts w:ascii="Times New Roman" w:cs="Times New Roman" w:eastAsia="Times New Roman" w:hAnsi="Times New Roman"/>
          <w:sz w:val="22"/>
          <w:szCs w:val="22"/>
          <w:color w:val="auto"/>
        </w:rPr>
        <w:t>. This Agreement may be executed in counterparts, each of which will be considered an original, but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together will constitute one agreement. Execution of a facsimile copy will have the same force and effect as execution of an original, and a facsimile signature will be deemed an original and valid signature.</w:t>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February 24, 2025</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indicate your agreement with the above terms by signing below.</w:t>
      </w:r>
    </w:p>
    <w:p>
      <w:pPr>
        <w:spacing w:after="0" w:line="220"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I acknowledge that I have read and understand this Agreement, I agree to the terms of this Agreement, and I am voluntarily signing this release of all claims.</w:t>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SIMON KHALAF, an individual</w:t>
      </w:r>
    </w:p>
    <w:p>
      <w:pPr>
        <w:spacing w:after="0" w:line="200" w:lineRule="exact"/>
        <w:rPr>
          <w:sz w:val="20"/>
          <w:szCs w:val="20"/>
          <w:color w:val="auto"/>
        </w:rPr>
      </w:pPr>
    </w:p>
    <w:p>
      <w:pPr>
        <w:spacing w:after="0" w:line="2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u w:val="single" w:color="auto"/>
          <w:color w:val="auto"/>
        </w:rPr>
        <w:t>/s/ Simon Khalaf</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Signature of Simon Khalaf</w:t>
      </w:r>
    </w:p>
    <w:p>
      <w:pPr>
        <w:ind w:left="1000"/>
        <w:spacing w:after="0"/>
        <w:rPr>
          <w:sz w:val="20"/>
          <w:szCs w:val="20"/>
          <w:color w:val="auto"/>
        </w:rPr>
      </w:pPr>
      <w:r>
        <w:rPr>
          <w:rFonts w:ascii="Times New Roman" w:cs="Times New Roman" w:eastAsia="Times New Roman" w:hAnsi="Times New Roman"/>
          <w:sz w:val="22"/>
          <w:szCs w:val="22"/>
          <w:color w:val="auto"/>
        </w:rPr>
        <w:t>Dated: March 1, 2025</w:t>
      </w: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0" w:lineRule="exact"/>
        <w:rPr>
          <w:sz w:val="20"/>
          <w:szCs w:val="20"/>
          <w:color w:val="auto"/>
        </w:rPr>
      </w:pPr>
    </w:p>
    <w:p>
      <w:pPr>
        <w:spacing w:after="0" w:line="2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u w:val="single" w:color="auto"/>
          <w:color w:val="auto"/>
        </w:rPr>
        <w:t>/s/ Judson C. Linville</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Signature of Judson C. Linville, Non-Executive Chair of the Board</w:t>
      </w:r>
    </w:p>
    <w:p>
      <w:pPr>
        <w:ind w:left="1000"/>
        <w:spacing w:after="0"/>
        <w:rPr>
          <w:sz w:val="20"/>
          <w:szCs w:val="20"/>
          <w:color w:val="auto"/>
        </w:rPr>
      </w:pPr>
      <w:r>
        <w:rPr>
          <w:rFonts w:ascii="Times New Roman" w:cs="Times New Roman" w:eastAsia="Times New Roman" w:hAnsi="Times New Roman"/>
          <w:sz w:val="22"/>
          <w:szCs w:val="22"/>
          <w:color w:val="auto"/>
        </w:rPr>
        <w:t>Dated: February 28, 2025</w:t>
      </w:r>
    </w:p>
    <w:p>
      <w:pPr>
        <w:sectPr>
          <w:pgSz w:w="11900" w:h="16838" w:orient="portrait"/>
          <w:cols w:equalWidth="0" w:num="1">
            <w:col w:w="10660"/>
          </w:cols>
          <w:pgMar w:left="320" w:top="122" w:right="919" w:bottom="1440" w:gutter="0" w:footer="0" w:header="0"/>
        </w:sectPr>
      </w:pPr>
    </w:p>
    <w:bookmarkStart w:id="54" w:name="page55"/>
    <w:bookmarkEnd w:id="54"/>
    <w:p>
      <w:pPr>
        <w:spacing w:after="0"/>
        <w:tabs>
          <w:tab w:leader="none" w:pos="39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0561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705610" cy="265430"/>
                    </a:xfrm>
                    <a:prstGeom prst="rect">
                      <a:avLst/>
                    </a:prstGeom>
                    <a:noFill/>
                  </pic:spPr>
                </pic:pic>
              </a:graphicData>
            </a:graphic>
          </wp:anchor>
        </w:drawing>
        <w:t>(Delivered via email)</w:t>
      </w:r>
      <w:r>
        <w:rPr>
          <w:sz w:val="20"/>
          <w:szCs w:val="20"/>
          <w:color w:val="auto"/>
        </w:rPr>
        <w:tab/>
      </w:r>
      <w:r>
        <w:rPr>
          <w:rFonts w:ascii="Arial" w:cs="Arial" w:eastAsia="Arial" w:hAnsi="Arial"/>
          <w:sz w:val="21"/>
          <w:szCs w:val="21"/>
          <w:color w:val="auto"/>
        </w:rPr>
        <w:t>Exhibit 10.4</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Subject: Retention Package Summary for ____</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Dear ______,</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22"/>
          <w:szCs w:val="22"/>
          <w:color w:val="auto"/>
        </w:rPr>
        <w:t>We would like to express our deep appreciation for your past contributions during your time as a Marqetan. To recognize these contributions and your criticality to the future success of your team and the company, we are pleased to communicate that as a valued member of the executive team of Marqeta, Inc. (the “</w:t>
      </w:r>
      <w:r>
        <w:rPr>
          <w:rFonts w:ascii="Arial" w:cs="Arial" w:eastAsia="Arial" w:hAnsi="Arial"/>
          <w:sz w:val="22"/>
          <w:szCs w:val="22"/>
          <w:b w:val="1"/>
          <w:bCs w:val="1"/>
          <w:color w:val="auto"/>
        </w:rPr>
        <w:t>Company</w:t>
      </w:r>
      <w:r>
        <w:rPr>
          <w:rFonts w:ascii="Arial" w:cs="Arial" w:eastAsia="Arial" w:hAnsi="Arial"/>
          <w:sz w:val="22"/>
          <w:szCs w:val="22"/>
          <w:color w:val="auto"/>
        </w:rPr>
        <w:t>”), you will receive a one-time retention award of $________ (the “</w:t>
      </w:r>
      <w:r>
        <w:rPr>
          <w:rFonts w:ascii="Arial" w:cs="Arial" w:eastAsia="Arial" w:hAnsi="Arial"/>
          <w:sz w:val="22"/>
          <w:szCs w:val="22"/>
          <w:b w:val="1"/>
          <w:bCs w:val="1"/>
          <w:color w:val="auto"/>
        </w:rPr>
        <w:t>Retention Award</w:t>
      </w:r>
      <w:r>
        <w:rPr>
          <w:rFonts w:ascii="Arial" w:cs="Arial" w:eastAsia="Arial" w:hAnsi="Arial"/>
          <w:sz w:val="22"/>
          <w:szCs w:val="22"/>
          <w:color w:val="auto"/>
        </w:rPr>
        <w:t>”), on the terms and conditions below:</w:t>
      </w:r>
    </w:p>
    <w:p>
      <w:pPr>
        <w:spacing w:after="0" w:line="193" w:lineRule="exact"/>
        <w:rPr>
          <w:sz w:val="20"/>
          <w:szCs w:val="20"/>
          <w:color w:val="auto"/>
        </w:rPr>
      </w:pPr>
    </w:p>
    <w:p>
      <w:pPr>
        <w:ind w:left="660" w:right="420" w:hanging="328"/>
        <w:spacing w:after="0" w:line="288" w:lineRule="auto"/>
        <w:tabs>
          <w:tab w:leader="none" w:pos="651" w:val="left"/>
        </w:tabs>
        <w:numPr>
          <w:ilvl w:val="0"/>
          <w:numId w:val="51"/>
        </w:numPr>
        <w:rPr>
          <w:rFonts w:ascii="Arial" w:cs="Arial" w:eastAsia="Arial" w:hAnsi="Arial"/>
          <w:sz w:val="21"/>
          <w:szCs w:val="21"/>
          <w:color w:val="auto"/>
        </w:rPr>
      </w:pPr>
      <w:r>
        <w:rPr>
          <w:rFonts w:ascii="Arial" w:cs="Arial" w:eastAsia="Arial" w:hAnsi="Arial"/>
          <w:sz w:val="21"/>
          <w:szCs w:val="21"/>
          <w:color w:val="auto"/>
        </w:rPr>
        <w:t>$__________ of the Retention Award will be payable in cash upon the earlier of the date that is 12 months following the Effective Date or the Board’s appointment of a new Chief Executive Officer (the date of such appointment, the “</w:t>
      </w:r>
      <w:r>
        <w:rPr>
          <w:rFonts w:ascii="Arial" w:cs="Arial" w:eastAsia="Arial" w:hAnsi="Arial"/>
          <w:sz w:val="21"/>
          <w:szCs w:val="21"/>
          <w:b w:val="1"/>
          <w:bCs w:val="1"/>
          <w:color w:val="auto"/>
        </w:rPr>
        <w:t>Appointment Date</w:t>
      </w:r>
      <w:r>
        <w:rPr>
          <w:rFonts w:ascii="Arial" w:cs="Arial" w:eastAsia="Arial" w:hAnsi="Arial"/>
          <w:sz w:val="21"/>
          <w:szCs w:val="21"/>
          <w:color w:val="auto"/>
        </w:rPr>
        <w:t>”), subject to you remaining employed through that date; and</w:t>
      </w:r>
    </w:p>
    <w:p>
      <w:pPr>
        <w:spacing w:after="0" w:line="154" w:lineRule="exact"/>
        <w:rPr>
          <w:rFonts w:ascii="Arial" w:cs="Arial" w:eastAsia="Arial" w:hAnsi="Arial"/>
          <w:sz w:val="21"/>
          <w:szCs w:val="21"/>
          <w:color w:val="auto"/>
        </w:rPr>
      </w:pPr>
    </w:p>
    <w:p>
      <w:pPr>
        <w:ind w:left="660" w:right="20" w:hanging="328"/>
        <w:spacing w:after="0" w:line="248" w:lineRule="auto"/>
        <w:tabs>
          <w:tab w:leader="none" w:pos="651" w:val="left"/>
        </w:tabs>
        <w:numPr>
          <w:ilvl w:val="0"/>
          <w:numId w:val="51"/>
        </w:numPr>
        <w:rPr>
          <w:rFonts w:ascii="Arial" w:cs="Arial" w:eastAsia="Arial" w:hAnsi="Arial"/>
          <w:sz w:val="22"/>
          <w:szCs w:val="22"/>
          <w:color w:val="auto"/>
        </w:rPr>
      </w:pPr>
      <w:r>
        <w:rPr>
          <w:rFonts w:ascii="Arial" w:cs="Arial" w:eastAsia="Arial" w:hAnsi="Arial"/>
          <w:sz w:val="22"/>
          <w:szCs w:val="22"/>
          <w:color w:val="auto"/>
        </w:rPr>
        <w:t>$_________ of the Retention Award will be granted in the form of Company restricted stock units (“</w:t>
      </w:r>
      <w:r>
        <w:rPr>
          <w:rFonts w:ascii="Arial" w:cs="Arial" w:eastAsia="Arial" w:hAnsi="Arial"/>
          <w:sz w:val="22"/>
          <w:szCs w:val="22"/>
          <w:b w:val="1"/>
          <w:bCs w:val="1"/>
          <w:color w:val="auto"/>
        </w:rPr>
        <w:t>RSUs</w:t>
      </w:r>
      <w:r>
        <w:rPr>
          <w:rFonts w:ascii="Arial" w:cs="Arial" w:eastAsia="Arial" w:hAnsi="Arial"/>
          <w:sz w:val="22"/>
          <w:szCs w:val="22"/>
          <w:color w:val="auto"/>
        </w:rPr>
        <w:t>”) following the Effective Date, with the number of RSUs calculated in accordance with the Company’s equity grant practices. The RSUs will vest on the date that is six months following the Appointment Date, subject to your continued employment with the Company through such date; provided, however, that if, following the Appointment Date, your employment with the Company is terminated without Cause (as defined in the Company’s Executive Severance Plan as currently in effect), 100% of your RSUs immediately will vest subject to you satisfying the Release Requirement (as defined in the Company’s Executive Severance Plan as currently in effect). Your RSUs will be subject to the terms and conditions of the Company’s 2021 Stock Option and Incentive Plan and the applicable award agreement thereunder.</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Any Retention Award payments will be subject to any applicable tax and other withholdings.</w:t>
      </w:r>
    </w:p>
    <w:p>
      <w:pPr>
        <w:spacing w:after="0" w:line="247" w:lineRule="exact"/>
        <w:rPr>
          <w:sz w:val="20"/>
          <w:szCs w:val="20"/>
          <w:color w:val="auto"/>
        </w:rPr>
      </w:pPr>
    </w:p>
    <w:p>
      <w:pPr>
        <w:jc w:val="both"/>
        <w:ind w:right="40"/>
        <w:spacing w:after="0" w:line="257" w:lineRule="auto"/>
        <w:rPr>
          <w:sz w:val="20"/>
          <w:szCs w:val="20"/>
          <w:color w:val="auto"/>
        </w:rPr>
      </w:pPr>
      <w:r>
        <w:rPr>
          <w:rFonts w:ascii="Arial" w:cs="Arial" w:eastAsia="Arial" w:hAnsi="Arial"/>
          <w:sz w:val="22"/>
          <w:szCs w:val="22"/>
          <w:color w:val="auto"/>
        </w:rPr>
        <w:t>All other terms of your employment with the Company in effect immediately prior to the Effective Date will continue to apply, except as otherwise described herein. Your employment with the Company continues to be at-will, and nothing herein is intended to constitute a guarantee of future employment or service with the Company.</w:t>
      </w:r>
    </w:p>
    <w:p>
      <w:pPr>
        <w:spacing w:after="0" w:line="200" w:lineRule="exact"/>
        <w:rPr>
          <w:sz w:val="20"/>
          <w:szCs w:val="20"/>
          <w:color w:val="auto"/>
        </w:rPr>
      </w:pPr>
    </w:p>
    <w:p>
      <w:pPr>
        <w:spacing w:after="0" w:line="243" w:lineRule="exact"/>
        <w:rPr>
          <w:sz w:val="20"/>
          <w:szCs w:val="20"/>
          <w:color w:val="auto"/>
        </w:rPr>
      </w:pPr>
    </w:p>
    <w:p>
      <w:pPr>
        <w:ind w:right="500"/>
        <w:spacing w:after="0" w:line="285" w:lineRule="auto"/>
        <w:rPr>
          <w:sz w:val="20"/>
          <w:szCs w:val="20"/>
          <w:color w:val="auto"/>
        </w:rPr>
      </w:pPr>
      <w:r>
        <w:rPr>
          <w:rFonts w:ascii="Arial" w:cs="Arial" w:eastAsia="Arial" w:hAnsi="Arial"/>
          <w:sz w:val="22"/>
          <w:szCs w:val="22"/>
          <w:color w:val="auto"/>
        </w:rPr>
        <w:t>This letter may be amended only by a written agreement between you and the Company and will supersede any other oral or written agreement with respect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00"/>
          </w:cols>
          <w:pgMar w:left="320" w:top="1423" w:right="379" w:bottom="1440" w:gutter="0" w:footer="0" w:header="0"/>
        </w:sectPr>
      </w:pPr>
    </w:p>
    <w:bookmarkStart w:id="55" w:name="page56"/>
    <w:bookmarkEnd w:id="55"/>
    <w:p>
      <w:pPr>
        <w:ind w:right="400"/>
        <w:spacing w:after="0" w:line="272"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0561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705610" cy="265430"/>
                    </a:xfrm>
                    <a:prstGeom prst="rect">
                      <a:avLst/>
                    </a:prstGeom>
                    <a:noFill/>
                  </pic:spPr>
                </pic:pic>
              </a:graphicData>
            </a:graphic>
          </wp:anchor>
        </w:drawing>
        <w:t>subject matter. This letter will be governed by the internal substantive laws, but not the choice of law rules, of the State of California.</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22"/>
          <w:szCs w:val="22"/>
          <w:color w:val="auto"/>
        </w:rPr>
        <w:t>Please confirm your agreement to the foregoing by signing and dating this letter in the space provided below for your signature and returning it to me.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Jud Linville</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Chairman, Marqeta Board of Directors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Name: ________</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Cc: Employee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40"/>
          </w:cols>
          <w:pgMar w:left="320" w:top="1423"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Michael (Mike) Milotich, certify that:</w:t>
      </w:r>
    </w:p>
    <w:p>
      <w:pPr>
        <w:spacing w:after="0" w:line="117"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Marqeta, Inc.;</w:t>
      </w:r>
    </w:p>
    <w:p>
      <w:pPr>
        <w:spacing w:after="0" w:line="117"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right="20" w:firstLine="8"/>
        <w:spacing w:after="0" w:line="287" w:lineRule="auto"/>
        <w:tabs>
          <w:tab w:leader="none" w:pos="6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firstLine="8"/>
        <w:spacing w:after="0" w:line="268" w:lineRule="auto"/>
        <w:tabs>
          <w:tab w:leader="none" w:pos="6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313"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hanging="4"/>
        <w:spacing w:after="0" w:line="268"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firstLine="8"/>
        <w:spacing w:after="0" w:line="287" w:lineRule="auto"/>
        <w:tabs>
          <w:tab w:leader="none" w:pos="63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8"/>
          <w:szCs w:val="18"/>
          <w:color w:val="auto"/>
        </w:rPr>
      </w:pPr>
    </w:p>
    <w:p>
      <w:pPr>
        <w:jc w:val="both"/>
        <w:ind w:left="660" w:hanging="4"/>
        <w:spacing w:after="0" w:line="268" w:lineRule="auto"/>
        <w:tabs>
          <w:tab w:leader="none" w:pos="130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hanging="4"/>
        <w:spacing w:after="0" w:line="287"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56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20955</wp:posOffset>
            </wp:positionV>
            <wp:extent cx="19373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Michael (Mike) Milotich</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Interim Chief Executive Officer &amp; Chief</w:t>
      </w:r>
    </w:p>
    <w:p>
      <w:pPr>
        <w:ind w:left="6840"/>
        <w:spacing w:after="0"/>
        <w:rPr>
          <w:sz w:val="20"/>
          <w:szCs w:val="20"/>
          <w:color w:val="auto"/>
        </w:rPr>
      </w:pPr>
      <w:r>
        <w:rPr>
          <w:rFonts w:ascii="Arial" w:cs="Arial" w:eastAsia="Arial" w:hAnsi="Arial"/>
          <w:sz w:val="16"/>
          <w:szCs w:val="16"/>
          <w:color w:val="auto"/>
        </w:rPr>
        <w:t>Financial Officer</w:t>
      </w:r>
    </w:p>
    <w:p>
      <w:pPr>
        <w:spacing w:after="0" w:line="10"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(Principal Executive, Financial, and</w:t>
      </w:r>
    </w:p>
    <w:p>
      <w:pPr>
        <w:ind w:left="6840"/>
        <w:spacing w:after="0"/>
        <w:rPr>
          <w:sz w:val="20"/>
          <w:szCs w:val="20"/>
          <w:color w:val="auto"/>
        </w:rPr>
      </w:pPr>
      <w:r>
        <w:rPr>
          <w:rFonts w:ascii="Arial" w:cs="Arial" w:eastAsia="Arial" w:hAnsi="Arial"/>
          <w:sz w:val="16"/>
          <w:szCs w:val="16"/>
          <w:color w:val="auto"/>
        </w:rPr>
        <w:t>Accounting Officer)</w:t>
      </w:r>
    </w:p>
    <w:p>
      <w:pPr>
        <w:sectPr>
          <w:pgSz w:w="11900" w:h="16838" w:orient="portrait"/>
          <w:cols w:equalWidth="0" w:num="1">
            <w:col w:w="11240"/>
          </w:cols>
          <w:pgMar w:left="320" w:top="93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Michael (Mike) Milotich, Interim Chief Executive Officer and Chief Financial Officer of Marqeta, Inc., certify, pursuant to 18 U.S.C. Section 1350, as adopted pursuant to Section 906 of the Sarbanes-Oxley Act of 2002, that the Quarterly Report on Form 10-Q of Marqeta, Inc. for the quarter ended March 31, 2025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p>
      <w:pPr>
        <w:spacing w:after="0" w:line="224" w:lineRule="exact"/>
        <w:rPr>
          <w:sz w:val="20"/>
          <w:szCs w:val="20"/>
          <w:color w:val="auto"/>
        </w:rPr>
      </w:pPr>
    </w:p>
    <w:p>
      <w:pPr>
        <w:ind w:left="20"/>
        <w:spacing w:after="0"/>
        <w:tabs>
          <w:tab w:leader="none" w:pos="7840" w:val="left"/>
        </w:tabs>
        <w:rPr>
          <w:sz w:val="20"/>
          <w:szCs w:val="20"/>
          <w:color w:val="auto"/>
        </w:rPr>
      </w:pPr>
      <w:r>
        <w:rPr>
          <w:rFonts w:ascii="Arial" w:cs="Arial" w:eastAsia="Arial" w:hAnsi="Arial"/>
          <w:sz w:val="16"/>
          <w:szCs w:val="16"/>
          <w:color w:val="auto"/>
        </w:rPr>
        <w:t>Date: May 7, 2025</w:t>
      </w:r>
      <w:r>
        <w:rPr>
          <w:sz w:val="20"/>
          <w:szCs w:val="20"/>
          <w:color w:val="auto"/>
        </w:rPr>
        <w:tab/>
      </w:r>
      <w:r>
        <w:rPr>
          <w:rFonts w:ascii="Arial" w:cs="Arial" w:eastAsia="Arial" w:hAnsi="Arial"/>
          <w:sz w:val="16"/>
          <w:szCs w:val="16"/>
          <w:color w:val="auto"/>
        </w:rPr>
        <w:t>By: /s/ Michael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20955</wp:posOffset>
            </wp:positionV>
            <wp:extent cx="198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Michael (Mike) Milotich</w:t>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Interim Chief Executive Officer &amp; Chief</w:t>
      </w:r>
    </w:p>
    <w:p>
      <w:pPr>
        <w:ind w:left="8120"/>
        <w:spacing w:after="0"/>
        <w:rPr>
          <w:sz w:val="20"/>
          <w:szCs w:val="20"/>
          <w:color w:val="auto"/>
        </w:rPr>
      </w:pPr>
      <w:r>
        <w:rPr>
          <w:rFonts w:ascii="Arial" w:cs="Arial" w:eastAsia="Arial" w:hAnsi="Arial"/>
          <w:sz w:val="16"/>
          <w:szCs w:val="16"/>
          <w:color w:val="auto"/>
        </w:rPr>
        <w:t>Financial Officer</w:t>
      </w:r>
    </w:p>
    <w:p>
      <w:pPr>
        <w:spacing w:after="0" w:line="10"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(Principal Executive, Financial, and</w:t>
      </w:r>
    </w:p>
    <w:p>
      <w:pPr>
        <w:ind w:left="8120"/>
        <w:spacing w:after="0"/>
        <w:rPr>
          <w:sz w:val="20"/>
          <w:szCs w:val="20"/>
          <w:color w:val="auto"/>
        </w:rPr>
      </w:pPr>
      <w:r>
        <w:rPr>
          <w:rFonts w:ascii="Arial" w:cs="Arial" w:eastAsia="Arial" w:hAnsi="Arial"/>
          <w:sz w:val="16"/>
          <w:szCs w:val="16"/>
          <w:color w:val="auto"/>
        </w:rPr>
        <w:t>Accounting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4"/>
    </w:lvl>
  </w:abstractNum>
  <w:abstractNum w:abstractNumId="7">
    <w:nsid w:val="8138641"/>
    <w:multiLevelType w:val="hybridMultilevel"/>
    <w:lvl w:ilvl="0">
      <w:lvlJc w:val="left"/>
      <w:lvlText w:val="%1."/>
      <w:numFmt w:val="decimal"/>
      <w:start w:val="5"/>
    </w:lvl>
  </w:abstractNum>
  <w:abstractNum w:abstractNumId="8">
    <w:nsid w:val="1E7FF521"/>
    <w:multiLevelType w:val="hybridMultilevel"/>
    <w:lvl w:ilvl="0">
      <w:lvlJc w:val="left"/>
      <w:lvlText w:val="%1."/>
      <w:numFmt w:val="decimal"/>
      <w:start w:val="6"/>
    </w:lvl>
  </w:abstractNum>
  <w:abstractNum w:abstractNumId="9">
    <w:nsid w:val="7C3DBD3D"/>
    <w:multiLevelType w:val="hybridMultilevel"/>
    <w:lvl w:ilvl="0">
      <w:lvlJc w:val="left"/>
      <w:lvlText w:val="%1."/>
      <w:numFmt w:val="decimal"/>
      <w:start w:val="7"/>
    </w:lvl>
  </w:abstractNum>
  <w:abstractNum w:abstractNumId="10">
    <w:nsid w:val="737B8DDC"/>
    <w:multiLevelType w:val="hybridMultilevel"/>
    <w:lvl w:ilvl="0">
      <w:lvlJc w:val="left"/>
      <w:lvlText w:val="%1."/>
      <w:numFmt w:val="decimal"/>
      <w:start w:val="9"/>
    </w:lvl>
  </w:abstractNum>
  <w:abstractNum w:abstractNumId="11">
    <w:nsid w:val="6CEAF087"/>
    <w:multiLevelType w:val="hybridMultilevel"/>
    <w:lvl w:ilvl="0">
      <w:lvlJc w:val="left"/>
      <w:lvlText w:val="%1."/>
      <w:numFmt w:val="decimal"/>
      <w:start w:val="10"/>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1"/>
    </w:lvl>
  </w:abstractNum>
  <w:abstractNum w:abstractNumId="14">
    <w:nsid w:val="3006C83E"/>
    <w:multiLevelType w:val="hybridMultilevel"/>
    <w:lvl w:ilvl="0">
      <w:lvlJc w:val="left"/>
      <w:lvlText w:val="%1."/>
      <w:numFmt w:val="decimal"/>
      <w:start w:val="12"/>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3"/>
    </w:lvl>
  </w:abstractNum>
  <w:abstractNum w:abstractNumId="17">
    <w:nsid w:val="5577F8E1"/>
    <w:multiLevelType w:val="hybridMultilevel"/>
    <w:lvl w:ilvl="0">
      <w:lvlJc w:val="left"/>
      <w:lvlText w:val="\emdash "/>
      <w:numFmt w:val="bullet"/>
      <w:start w:val="1"/>
    </w:lvl>
  </w:abstractNum>
  <w:abstractNum w:abstractNumId="18">
    <w:nsid w:val="440BADFC"/>
    <w:multiLevelType w:val="hybridMultilevel"/>
    <w:lvl w:ilvl="0">
      <w:lvlJc w:val="left"/>
      <w:lvlText w:val="\emdash "/>
      <w:numFmt w:val="bullet"/>
      <w:start w:val="1"/>
    </w:lvl>
  </w:abstractNum>
  <w:abstractNum w:abstractNumId="19">
    <w:nsid w:val="5072367"/>
    <w:multiLevelType w:val="hybridMultilevel"/>
    <w:lvl w:ilvl="0">
      <w:lvlJc w:val="left"/>
      <w:lvlText w:val="%1."/>
      <w:numFmt w:val="decimal"/>
      <w:start w:val="14"/>
    </w:lvl>
  </w:abstractNum>
  <w:abstractNum w:abstractNumId="20">
    <w:nsid w:val="3804823E"/>
    <w:multiLevelType w:val="hybridMultilevel"/>
    <w:lvl w:ilvl="0">
      <w:lvlJc w:val="left"/>
      <w:lvlText w:val="%1."/>
      <w:numFmt w:val="decimal"/>
      <w:start w:val="15"/>
    </w:lvl>
  </w:abstractNum>
  <w:abstractNum w:abstractNumId="21">
    <w:nsid w:val="77465F01"/>
    <w:multiLevelType w:val="hybridMultilevel"/>
    <w:lvl w:ilvl="0">
      <w:lvlJc w:val="left"/>
      <w:lvlText w:val="1"/>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1."/>
      <w:numFmt w:val="decimal"/>
      <w:start w:val="4"/>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lowerRoman"/>
      <w:start w:val="2"/>
    </w:lvl>
  </w:abstractNum>
  <w:abstractNum w:abstractNumId="37">
    <w:nsid w:val="57E4CCAF"/>
    <w:multiLevelType w:val="hybridMultilevel"/>
    <w:lvl w:ilvl="0">
      <w:lvlJc w:val="left"/>
      <w:lvlText w:val="%1."/>
      <w:numFmt w:val="decimal"/>
      <w:start w:val="3"/>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3"/>
    </w:lvl>
  </w:abstractNum>
  <w:abstractNum w:abstractNumId="40">
    <w:nsid w:val="542289EC"/>
    <w:multiLevelType w:val="hybridMultilevel"/>
    <w:lvl w:ilvl="0">
      <w:lvlJc w:val="left"/>
      <w:lvlText w:val="%1."/>
      <w:numFmt w:val="decimal"/>
      <w:start w:val="6"/>
    </w:lvl>
  </w:abstractNum>
  <w:abstractNum w:abstractNumId="41">
    <w:nsid w:val="6DE91B18"/>
    <w:multiLevelType w:val="hybridMultilevel"/>
    <w:lvl w:ilvl="0">
      <w:lvlJc w:val="left"/>
      <w:lvlText w:val="%1."/>
      <w:numFmt w:val="decimal"/>
      <w:start w:val="7"/>
    </w:lvl>
    <w:lvl w:ilvl="1">
      <w:lvlJc w:val="left"/>
      <w:lvlText w:val="%2)"/>
      <w:numFmt w:val="lowerLetter"/>
      <w:start w:val="1"/>
    </w:lvl>
  </w:abstractNum>
  <w:abstractNum w:abstractNumId="42">
    <w:nsid w:val="38437FDB"/>
    <w:multiLevelType w:val="hybridMultilevel"/>
    <w:lvl w:ilvl="0">
      <w:lvlJc w:val="left"/>
      <w:lvlText w:val="%1."/>
      <w:numFmt w:val="decimal"/>
      <w:start w:val="9"/>
    </w:lvl>
  </w:abstractNum>
  <w:abstractNum w:abstractNumId="43">
    <w:nsid w:val="7644A45C"/>
    <w:multiLevelType w:val="hybridMultilevel"/>
    <w:lvl w:ilvl="0">
      <w:lvlJc w:val="left"/>
      <w:lvlText w:val="%1."/>
      <w:numFmt w:val="decimal"/>
      <w:start w:val="12"/>
    </w:lvl>
  </w:abstractNum>
  <w:abstractNum w:abstractNumId="44">
    <w:nsid w:val="32FFF902"/>
    <w:multiLevelType w:val="hybridMultilevel"/>
    <w:lvl w:ilvl="0">
      <w:lvlJc w:val="left"/>
      <w:lvlText w:val="%1."/>
      <w:numFmt w:val="decimal"/>
      <w:start w:val="17"/>
    </w:lvl>
  </w:abstractNum>
  <w:abstractNum w:abstractNumId="45">
    <w:nsid w:val="684A481A"/>
    <w:multiLevelType w:val="hybridMultilevel"/>
    <w:lvl w:ilvl="0">
      <w:lvlJc w:val="left"/>
      <w:lvlText w:val="%1)"/>
      <w:numFmt w:val="lowerLetter"/>
      <w:start w:val="4"/>
    </w:lvl>
  </w:abstractNum>
  <w:abstractNum w:abstractNumId="46">
    <w:nsid w:val="579478FE"/>
    <w:multiLevelType w:val="hybridMultilevel"/>
    <w:lvl w:ilvl="0">
      <w:lvlJc w:val="left"/>
      <w:lvlText w:val="%1."/>
      <w:numFmt w:val="decimal"/>
      <w:start w:val="18"/>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9"/>
    </w:lvl>
  </w:abstractNum>
  <w:abstractNum w:abstractNumId="49">
    <w:nsid w:val="1BA026FA"/>
    <w:multiLevelType w:val="hybridMultilevel"/>
    <w:lvl w:ilvl="0">
      <w:lvlJc w:val="left"/>
      <w:lvlText w:val="%1."/>
      <w:numFmt w:val="decimal"/>
      <w:start w:val="22"/>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2025-05-07T16:14:08Z</dcterms:created>
  <dcterms:modified xsi:type="dcterms:W3CDTF">2025-05-07T16:14:08Z</dcterms:modified>
</cp:coreProperties>
</file>