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62230</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43815</wp:posOffset>
            </wp:positionV>
            <wp:extent cx="1979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1"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69215</wp:posOffset>
            </wp:positionV>
            <wp:extent cx="1979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Marqeta, Inc.</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66675</wp:posOffset>
            </wp:positionV>
            <wp:extent cx="197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40" w:type="dxa"/>
            <w:vAlign w:val="bottom"/>
            <w:gridSpan w:val="3"/>
          </w:tcPr>
          <w:p>
            <w:pPr>
              <w:jc w:val="center"/>
              <w:ind w:left="624"/>
              <w:spacing w:after="0"/>
              <w:rPr>
                <w:sz w:val="20"/>
                <w:szCs w:val="20"/>
                <w:color w:val="auto"/>
              </w:rPr>
            </w:pPr>
            <w:r>
              <w:rPr>
                <w:rFonts w:ascii="Arial" w:cs="Arial" w:eastAsia="Arial" w:hAnsi="Arial"/>
                <w:sz w:val="18"/>
                <w:szCs w:val="18"/>
                <w:b w:val="1"/>
                <w:bCs w:val="1"/>
                <w:color w:val="auto"/>
              </w:rPr>
              <w:t>Delaware</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60" w:type="dxa"/>
            <w:vAlign w:val="bottom"/>
          </w:tcPr>
          <w:p>
            <w:pPr>
              <w:jc w:val="right"/>
              <w:ind w:right="2243"/>
              <w:spacing w:after="0"/>
              <w:rPr>
                <w:sz w:val="20"/>
                <w:szCs w:val="20"/>
                <w:color w:val="auto"/>
              </w:rPr>
            </w:pPr>
            <w:r>
              <w:rPr>
                <w:rFonts w:ascii="Arial" w:cs="Arial" w:eastAsia="Arial" w:hAnsi="Arial"/>
                <w:sz w:val="18"/>
                <w:szCs w:val="18"/>
                <w:b w:val="1"/>
                <w:bCs w:val="1"/>
                <w:color w:val="auto"/>
              </w:rPr>
              <w:t>27-4306690</w:t>
            </w:r>
          </w:p>
        </w:tc>
      </w:tr>
      <w:tr>
        <w:trPr>
          <w:trHeight w:val="190"/>
        </w:trPr>
        <w:tc>
          <w:tcPr>
            <w:tcW w:w="4940" w:type="dxa"/>
            <w:vAlign w:val="bottom"/>
            <w:gridSpan w:val="3"/>
          </w:tcPr>
          <w:p>
            <w:pPr>
              <w:jc w:val="center"/>
              <w:ind w:left="624"/>
              <w:spacing w:after="0"/>
              <w:rPr>
                <w:sz w:val="20"/>
                <w:szCs w:val="20"/>
                <w:color w:val="auto"/>
              </w:rPr>
            </w:pPr>
            <w:r>
              <w:rPr>
                <w:rFonts w:ascii="Arial" w:cs="Arial" w:eastAsia="Arial" w:hAnsi="Arial"/>
                <w:sz w:val="14"/>
                <w:szCs w:val="14"/>
                <w:color w:val="auto"/>
              </w:rPr>
              <w:t>(State or other jurisdiction of incorporation or organization)</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60" w:type="dxa"/>
            <w:vAlign w:val="bottom"/>
          </w:tcPr>
          <w:p>
            <w:pPr>
              <w:jc w:val="center"/>
              <w:ind w:right="1483"/>
              <w:spacing w:after="0"/>
              <w:rPr>
                <w:sz w:val="20"/>
                <w:szCs w:val="20"/>
                <w:color w:val="auto"/>
              </w:rPr>
            </w:pPr>
            <w:r>
              <w:rPr>
                <w:rFonts w:ascii="Arial" w:cs="Arial" w:eastAsia="Arial" w:hAnsi="Arial"/>
                <w:sz w:val="14"/>
                <w:szCs w:val="14"/>
                <w:color w:val="auto"/>
              </w:rPr>
              <w:t>(I.R.S. Employer Identification Number)</w:t>
            </w:r>
          </w:p>
        </w:tc>
      </w:tr>
      <w:tr>
        <w:trPr>
          <w:trHeight w:val="296"/>
        </w:trPr>
        <w:tc>
          <w:tcPr>
            <w:tcW w:w="4940" w:type="dxa"/>
            <w:vAlign w:val="bottom"/>
            <w:gridSpan w:val="3"/>
          </w:tcPr>
          <w:p>
            <w:pPr>
              <w:jc w:val="center"/>
              <w:ind w:left="604"/>
              <w:spacing w:after="0"/>
              <w:rPr>
                <w:sz w:val="20"/>
                <w:szCs w:val="20"/>
                <w:color w:val="auto"/>
              </w:rPr>
            </w:pPr>
            <w:r>
              <w:rPr>
                <w:rFonts w:ascii="Arial" w:cs="Arial" w:eastAsia="Arial" w:hAnsi="Arial"/>
                <w:sz w:val="18"/>
                <w:szCs w:val="18"/>
                <w:b w:val="1"/>
                <w:bCs w:val="1"/>
                <w:color w:val="auto"/>
                <w:w w:val="99"/>
              </w:rPr>
              <w:t>180 Grand Avenue, 6th Floor, Oakland, California</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Pr>
          <w:p>
            <w:pPr>
              <w:jc w:val="right"/>
              <w:ind w:right="2483"/>
              <w:spacing w:after="0"/>
              <w:rPr>
                <w:sz w:val="20"/>
                <w:szCs w:val="20"/>
                <w:color w:val="auto"/>
              </w:rPr>
            </w:pPr>
            <w:r>
              <w:rPr>
                <w:rFonts w:ascii="Arial" w:cs="Arial" w:eastAsia="Arial" w:hAnsi="Arial"/>
                <w:sz w:val="18"/>
                <w:szCs w:val="18"/>
                <w:b w:val="1"/>
                <w:bCs w:val="1"/>
                <w:color w:val="auto"/>
              </w:rPr>
              <w:t>94612</w:t>
            </w:r>
          </w:p>
        </w:tc>
      </w:tr>
      <w:tr>
        <w:trPr>
          <w:trHeight w:val="190"/>
        </w:trPr>
        <w:tc>
          <w:tcPr>
            <w:tcW w:w="4940" w:type="dxa"/>
            <w:vAlign w:val="bottom"/>
            <w:gridSpan w:val="3"/>
          </w:tcPr>
          <w:p>
            <w:pPr>
              <w:jc w:val="center"/>
              <w:ind w:left="604"/>
              <w:spacing w:after="0"/>
              <w:rPr>
                <w:sz w:val="20"/>
                <w:szCs w:val="20"/>
                <w:color w:val="auto"/>
              </w:rPr>
            </w:pPr>
            <w:r>
              <w:rPr>
                <w:rFonts w:ascii="Arial" w:cs="Arial" w:eastAsia="Arial" w:hAnsi="Arial"/>
                <w:sz w:val="14"/>
                <w:szCs w:val="14"/>
                <w:color w:val="auto"/>
              </w:rPr>
              <w:t>(Address of principal executive offices)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60" w:type="dxa"/>
            <w:vAlign w:val="bottom"/>
          </w:tcPr>
          <w:p>
            <w:pPr>
              <w:jc w:val="center"/>
              <w:ind w:right="1463"/>
              <w:spacing w:after="0"/>
              <w:rPr>
                <w:sz w:val="20"/>
                <w:szCs w:val="20"/>
                <w:color w:val="auto"/>
              </w:rPr>
            </w:pPr>
            <w:r>
              <w:rPr>
                <w:rFonts w:ascii="Arial" w:cs="Arial" w:eastAsia="Arial" w:hAnsi="Arial"/>
                <w:sz w:val="14"/>
                <w:szCs w:val="14"/>
                <w:color w:val="auto"/>
              </w:rPr>
              <w:t>(Zip Code)</w:t>
            </w:r>
          </w:p>
        </w:tc>
      </w:tr>
      <w:tr>
        <w:trPr>
          <w:trHeight w:val="552"/>
        </w:trPr>
        <w:tc>
          <w:tcPr>
            <w:tcW w:w="4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(510) 671-5437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90"/>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62"/>
        </w:trPr>
        <w:tc>
          <w:tcPr>
            <w:tcW w:w="40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60" w:type="dxa"/>
            <w:vAlign w:val="bottom"/>
          </w:tcPr>
          <w:p>
            <w:pPr>
              <w:spacing w:after="0"/>
              <w:rPr>
                <w:sz w:val="5"/>
                <w:szCs w:val="5"/>
                <w:color w:val="auto"/>
              </w:rPr>
            </w:pPr>
          </w:p>
        </w:tc>
      </w:tr>
      <w:tr>
        <w:trPr>
          <w:trHeight w:val="269"/>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28"/>
        </w:trPr>
        <w:tc>
          <w:tcPr>
            <w:tcW w:w="4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center"/>
              <w:ind w:right="703"/>
              <w:spacing w:after="0"/>
              <w:rPr>
                <w:sz w:val="20"/>
                <w:szCs w:val="20"/>
                <w:color w:val="auto"/>
              </w:rPr>
            </w:pPr>
            <w:r>
              <w:rPr>
                <w:rFonts w:ascii="Arial" w:cs="Arial" w:eastAsia="Arial" w:hAnsi="Arial"/>
                <w:sz w:val="14"/>
                <w:szCs w:val="14"/>
                <w:color w:val="auto"/>
              </w:rPr>
              <w:t>Name of each exchange on which registered</w:t>
            </w:r>
          </w:p>
        </w:tc>
      </w:tr>
      <w:tr>
        <w:trPr>
          <w:trHeight w:val="198"/>
        </w:trPr>
        <w:tc>
          <w:tcPr>
            <w:tcW w:w="4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2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7"/>
              </w:rPr>
              <w:t>MQ</w:t>
            </w:r>
          </w:p>
        </w:tc>
        <w:tc>
          <w:tcPr>
            <w:tcW w:w="4060" w:type="dxa"/>
            <w:vAlign w:val="bottom"/>
          </w:tcPr>
          <w:p>
            <w:pPr>
              <w:jc w:val="center"/>
              <w:ind w:right="703"/>
              <w:spacing w:after="0"/>
              <w:rPr>
                <w:sz w:val="20"/>
                <w:szCs w:val="20"/>
                <w:color w:val="auto"/>
              </w:rPr>
            </w:pPr>
            <w:r>
              <w:rPr>
                <w:rFonts w:ascii="Arial" w:cs="Arial" w:eastAsia="Arial" w:hAnsi="Arial"/>
                <w:sz w:val="14"/>
                <w:szCs w:val="14"/>
                <w:b w:val="1"/>
                <w:bCs w:val="1"/>
                <w:color w:val="auto"/>
              </w:rPr>
              <w:t>The Nasdaq Stock Market LLC</w:t>
            </w:r>
          </w:p>
        </w:tc>
      </w:tr>
      <w:tr>
        <w:trPr>
          <w:trHeight w:val="203"/>
        </w:trPr>
        <w:tc>
          <w:tcPr>
            <w:tcW w:w="4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60" w:type="dxa"/>
            <w:vAlign w:val="bottom"/>
          </w:tcPr>
          <w:p>
            <w:pPr>
              <w:jc w:val="center"/>
              <w:ind w:right="703"/>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95" w:lineRule="exact"/>
        <w:rPr>
          <w:sz w:val="24"/>
          <w:szCs w:val="24"/>
          <w:color w:val="auto"/>
        </w:rPr>
      </w:pPr>
    </w:p>
    <w:p>
      <w:pPr>
        <w:jc w:val="both"/>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640" w:type="dxa"/>
            <w:vAlign w:val="bottom"/>
          </w:tcPr>
          <w:p>
            <w:pPr>
              <w:ind w:left="222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1" w:lineRule="exact"/>
        <w:rPr>
          <w:sz w:val="24"/>
          <w:szCs w:val="24"/>
          <w:color w:val="auto"/>
        </w:rPr>
      </w:pPr>
    </w:p>
    <w:p>
      <w:pPr>
        <w:jc w:val="both"/>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As of July 31, 2025, there were 414,971,902 shares of the registrant's Class A common stock, par value $0.0001 per share, outstanding and 33,260,850 shares of the registrant's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40" w:type="dxa"/>
            <w:vAlign w:val="bottom"/>
            <w:gridSpan w:val="8"/>
          </w:tcPr>
          <w:p>
            <w:pPr>
              <w:ind w:left="8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47"/>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gridSpan w:val="4"/>
          </w:tcPr>
          <w:p>
            <w:pPr>
              <w:ind w:left="1100"/>
              <w:spacing w:after="0"/>
              <w:rPr>
                <w:sz w:val="20"/>
                <w:szCs w:val="20"/>
                <w:color w:val="auto"/>
              </w:rPr>
            </w:pPr>
            <w:r>
              <w:rPr>
                <w:rFonts w:ascii="Arial" w:cs="Arial" w:eastAsia="Arial" w:hAnsi="Arial"/>
                <w:sz w:val="18"/>
                <w:szCs w:val="18"/>
                <w:b w:val="1"/>
                <w:bCs w:val="1"/>
                <w:color w:val="auto"/>
                <w:w w:val="92"/>
              </w:rPr>
              <w:t>Page</w:t>
            </w:r>
          </w:p>
        </w:tc>
      </w:tr>
      <w:tr>
        <w:trPr>
          <w:trHeight w:val="210"/>
        </w:trPr>
        <w:tc>
          <w:tcPr>
            <w:tcW w:w="9400" w:type="dxa"/>
            <w:vAlign w:val="bottom"/>
            <w:gridSpan w:val="22"/>
          </w:tcPr>
          <w:p>
            <w:pPr>
              <w:spacing w:after="0"/>
              <w:rPr>
                <w:sz w:val="20"/>
                <w:szCs w:val="20"/>
                <w:color w:val="auto"/>
              </w:rPr>
            </w:pPr>
            <w:r>
              <w:rPr>
                <w:rFonts w:ascii="Arial" w:cs="Arial" w:eastAsia="Arial" w:hAnsi="Arial"/>
                <w:sz w:val="18"/>
                <w:szCs w:val="18"/>
                <w:color w:val="0000FF"/>
              </w:rPr>
              <w:t>Note About Forward-Looking Statements</w:t>
            </w:r>
          </w:p>
        </w:tc>
        <w:tc>
          <w:tcPr>
            <w:tcW w:w="1100" w:type="dxa"/>
            <w:vAlign w:val="bottom"/>
          </w:tcPr>
          <w:p>
            <w:pPr>
              <w:spacing w:after="0"/>
              <w:rPr>
                <w:sz w:val="18"/>
                <w:szCs w:val="18"/>
                <w:color w:val="auto"/>
              </w:rPr>
            </w:pPr>
          </w:p>
        </w:tc>
        <w:tc>
          <w:tcPr>
            <w:tcW w:w="260" w:type="dxa"/>
            <w:vAlign w:val="bottom"/>
            <w:tcBorders>
              <w:top w:val="single" w:sz="8" w:color="auto"/>
            </w:tcBorders>
            <w:gridSpan w:val="2"/>
          </w:tcPr>
          <w:p>
            <w:pPr>
              <w:jc w:val="center"/>
              <w:ind w:left="70"/>
              <w:spacing w:after="0"/>
              <w:rPr>
                <w:sz w:val="20"/>
                <w:szCs w:val="20"/>
                <w:color w:val="auto"/>
              </w:rPr>
            </w:pPr>
            <w:r>
              <w:rPr>
                <w:rFonts w:ascii="Arial" w:cs="Arial" w:eastAsia="Arial" w:hAnsi="Arial"/>
                <w:sz w:val="18"/>
                <w:szCs w:val="18"/>
                <w:color w:val="0000FF"/>
                <w:w w:val="99"/>
              </w:rPr>
              <w:t>3</w:t>
            </w:r>
          </w:p>
        </w:tc>
        <w:tc>
          <w:tcPr>
            <w:tcW w:w="160" w:type="dxa"/>
            <w:vAlign w:val="bottom"/>
            <w:tcBorders>
              <w:top w:val="single" w:sz="8" w:color="auto"/>
            </w:tcBorders>
          </w:tcPr>
          <w:p>
            <w:pPr>
              <w:spacing w:after="0"/>
              <w:rPr>
                <w:sz w:val="18"/>
                <w:szCs w:val="18"/>
                <w:color w:val="auto"/>
              </w:rPr>
            </w:pPr>
          </w:p>
        </w:tc>
      </w:tr>
      <w:tr>
        <w:trPr>
          <w:trHeight w:val="515"/>
        </w:trPr>
        <w:tc>
          <w:tcPr>
            <w:tcW w:w="3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5620" w:type="dxa"/>
            <w:vAlign w:val="bottom"/>
            <w:gridSpan w:val="9"/>
          </w:tcPr>
          <w:p>
            <w:pPr>
              <w:ind w:left="720"/>
              <w:spacing w:after="0"/>
              <w:rPr>
                <w:sz w:val="20"/>
                <w:szCs w:val="20"/>
                <w:color w:val="auto"/>
              </w:rPr>
            </w:pPr>
            <w:r>
              <w:rPr>
                <w:rFonts w:ascii="Arial" w:cs="Arial" w:eastAsia="Arial" w:hAnsi="Arial"/>
                <w:sz w:val="18"/>
                <w:szCs w:val="18"/>
                <w:b w:val="1"/>
                <w:bCs w:val="1"/>
                <w:color w:val="auto"/>
              </w:rPr>
              <w:t>Part I - Financial Information</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0000FF"/>
              </w:rPr>
              <w:t>Item 1.</w:t>
            </w:r>
          </w:p>
        </w:tc>
        <w:tc>
          <w:tcPr>
            <w:tcW w:w="360" w:type="dxa"/>
            <w:vAlign w:val="bottom"/>
            <w:gridSpan w:val="2"/>
          </w:tcPr>
          <w:p>
            <w:pPr>
              <w:spacing w:after="0"/>
              <w:rPr>
                <w:sz w:val="16"/>
                <w:szCs w:val="16"/>
                <w:color w:val="auto"/>
              </w:rPr>
            </w:pPr>
          </w:p>
        </w:tc>
        <w:tc>
          <w:tcPr>
            <w:tcW w:w="3800" w:type="dxa"/>
            <w:vAlign w:val="bottom"/>
            <w:gridSpan w:val="11"/>
          </w:tcPr>
          <w:p>
            <w:pPr>
              <w:spacing w:after="0" w:line="195" w:lineRule="exact"/>
              <w:rPr>
                <w:sz w:val="20"/>
                <w:szCs w:val="20"/>
                <w:color w:val="auto"/>
              </w:rPr>
            </w:pPr>
            <w:r>
              <w:rPr>
                <w:rFonts w:ascii="Arial" w:cs="Arial" w:eastAsia="Arial" w:hAnsi="Arial"/>
                <w:sz w:val="18"/>
                <w:szCs w:val="18"/>
                <w:color w:val="0000FF"/>
                <w:w w:val="99"/>
              </w:rPr>
              <w:t>Condensed Consolidated Financial Statements:</w:t>
            </w:r>
          </w:p>
        </w:tc>
        <w:tc>
          <w:tcPr>
            <w:tcW w:w="4360" w:type="dxa"/>
            <w:vAlign w:val="bottom"/>
            <w:gridSpan w:val="7"/>
          </w:tcPr>
          <w:p>
            <w:pPr>
              <w:spacing w:after="0"/>
              <w:rPr>
                <w:sz w:val="16"/>
                <w:szCs w:val="16"/>
                <w:color w:val="auto"/>
              </w:rPr>
            </w:pPr>
          </w:p>
        </w:tc>
        <w:tc>
          <w:tcPr>
            <w:tcW w:w="1360" w:type="dxa"/>
            <w:vAlign w:val="bottom"/>
            <w:gridSpan w:val="3"/>
          </w:tcPr>
          <w:p>
            <w:pPr>
              <w:jc w:val="center"/>
              <w:ind w:left="1170"/>
              <w:spacing w:after="0" w:line="195" w:lineRule="exact"/>
              <w:rPr>
                <w:sz w:val="20"/>
                <w:szCs w:val="20"/>
                <w:color w:val="auto"/>
              </w:rPr>
            </w:pPr>
            <w:r>
              <w:rPr>
                <w:rFonts w:ascii="Arial" w:cs="Arial" w:eastAsia="Arial" w:hAnsi="Arial"/>
                <w:sz w:val="18"/>
                <w:szCs w:val="18"/>
                <w:color w:val="0000FF"/>
                <w:w w:val="99"/>
              </w:rPr>
              <w:t>5</w:t>
            </w:r>
          </w:p>
        </w:tc>
        <w:tc>
          <w:tcPr>
            <w:tcW w:w="16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11"/>
          </w:tcPr>
          <w:p>
            <w:pPr>
              <w:spacing w:after="0"/>
              <w:rPr>
                <w:sz w:val="20"/>
                <w:szCs w:val="20"/>
                <w:color w:val="auto"/>
              </w:rPr>
            </w:pPr>
            <w:r>
              <w:rPr>
                <w:rFonts w:ascii="Arial" w:cs="Arial" w:eastAsia="Arial" w:hAnsi="Arial"/>
                <w:sz w:val="18"/>
                <w:szCs w:val="18"/>
                <w:color w:val="0000FF"/>
              </w:rPr>
              <w:t>Condensed Consolidated Balance Sheets</w:t>
            </w:r>
          </w:p>
        </w:tc>
        <w:tc>
          <w:tcPr>
            <w:tcW w:w="4360" w:type="dxa"/>
            <w:vAlign w:val="bottom"/>
            <w:gridSpan w:val="7"/>
          </w:tcPr>
          <w:p>
            <w:pPr>
              <w:spacing w:after="0"/>
              <w:rPr>
                <w:sz w:val="18"/>
                <w:szCs w:val="18"/>
                <w:color w:val="auto"/>
              </w:rPr>
            </w:pPr>
          </w:p>
        </w:tc>
        <w:tc>
          <w:tcPr>
            <w:tcW w:w="1360" w:type="dxa"/>
            <w:vAlign w:val="bottom"/>
            <w:gridSpan w:val="3"/>
          </w:tcPr>
          <w:p>
            <w:pPr>
              <w:jc w:val="center"/>
              <w:ind w:left="1170"/>
              <w:spacing w:after="0"/>
              <w:rPr>
                <w:sz w:val="20"/>
                <w:szCs w:val="20"/>
                <w:color w:val="auto"/>
              </w:rPr>
            </w:pPr>
            <w:r>
              <w:rPr>
                <w:rFonts w:ascii="Arial" w:cs="Arial" w:eastAsia="Arial" w:hAnsi="Arial"/>
                <w:sz w:val="18"/>
                <w:szCs w:val="18"/>
                <w:color w:val="0000FF"/>
                <w:w w:val="99"/>
              </w:rPr>
              <w:t>5</w:t>
            </w: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 and Comprehensive Income (Loss</w:t>
            </w:r>
            <w:r>
              <w:rPr>
                <w:rFonts w:ascii="Arial" w:cs="Arial" w:eastAsia="Arial" w:hAnsi="Arial"/>
                <w:sz w:val="18"/>
                <w:szCs w:val="18"/>
                <w:color w:val="000000"/>
              </w:rPr>
              <w:t>)</w:t>
            </w:r>
          </w:p>
        </w:tc>
        <w:tc>
          <w:tcPr>
            <w:tcW w:w="1360" w:type="dxa"/>
            <w:vAlign w:val="bottom"/>
            <w:gridSpan w:val="3"/>
          </w:tcPr>
          <w:p>
            <w:pPr>
              <w:jc w:val="center"/>
              <w:ind w:left="1170"/>
              <w:spacing w:after="0"/>
              <w:rPr>
                <w:sz w:val="20"/>
                <w:szCs w:val="20"/>
                <w:color w:val="auto"/>
              </w:rPr>
            </w:pPr>
            <w:r>
              <w:rPr>
                <w:rFonts w:ascii="Arial" w:cs="Arial" w:eastAsia="Arial" w:hAnsi="Arial"/>
                <w:sz w:val="18"/>
                <w:szCs w:val="18"/>
                <w:color w:val="0000FF"/>
                <w:w w:val="99"/>
              </w:rPr>
              <w:t>6</w:t>
            </w: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gridSpan w:val="15"/>
          </w:tcPr>
          <w:p>
            <w:pPr>
              <w:spacing w:after="0"/>
              <w:rPr>
                <w:sz w:val="20"/>
                <w:szCs w:val="20"/>
                <w:color w:val="auto"/>
              </w:rPr>
            </w:pPr>
            <w:r>
              <w:rPr>
                <w:rFonts w:ascii="Arial" w:cs="Arial" w:eastAsia="Arial" w:hAnsi="Arial"/>
                <w:sz w:val="18"/>
                <w:szCs w:val="18"/>
                <w:color w:val="0000FF"/>
                <w:w w:val="98"/>
              </w:rPr>
              <w:t>Condensed Consolidated Statements of Stockholders' Equity</w:t>
            </w:r>
          </w:p>
        </w:tc>
        <w:tc>
          <w:tcPr>
            <w:tcW w:w="20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3"/>
          </w:tcPr>
          <w:p>
            <w:pPr>
              <w:jc w:val="center"/>
              <w:ind w:left="1170"/>
              <w:spacing w:after="0"/>
              <w:rPr>
                <w:sz w:val="20"/>
                <w:szCs w:val="20"/>
                <w:color w:val="auto"/>
              </w:rPr>
            </w:pPr>
            <w:r>
              <w:rPr>
                <w:rFonts w:ascii="Arial" w:cs="Arial" w:eastAsia="Arial" w:hAnsi="Arial"/>
                <w:sz w:val="18"/>
                <w:szCs w:val="18"/>
                <w:color w:val="0000FF"/>
                <w:w w:val="99"/>
              </w:rPr>
              <w:t>7</w:t>
            </w: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3320" w:type="dxa"/>
            <w:vAlign w:val="bottom"/>
            <w:gridSpan w:val="3"/>
          </w:tcPr>
          <w:p>
            <w:pPr>
              <w:spacing w:after="0"/>
              <w:rPr>
                <w:sz w:val="18"/>
                <w:szCs w:val="18"/>
                <w:color w:val="auto"/>
              </w:rPr>
            </w:pPr>
          </w:p>
        </w:tc>
        <w:tc>
          <w:tcPr>
            <w:tcW w:w="1360" w:type="dxa"/>
            <w:vAlign w:val="bottom"/>
            <w:gridSpan w:val="3"/>
          </w:tcPr>
          <w:p>
            <w:pPr>
              <w:jc w:val="center"/>
              <w:ind w:left="1170"/>
              <w:spacing w:after="0"/>
              <w:rPr>
                <w:sz w:val="20"/>
                <w:szCs w:val="20"/>
                <w:color w:val="auto"/>
              </w:rPr>
            </w:pPr>
            <w:r>
              <w:rPr>
                <w:rFonts w:ascii="Arial" w:cs="Arial" w:eastAsia="Arial" w:hAnsi="Arial"/>
                <w:sz w:val="18"/>
                <w:szCs w:val="18"/>
                <w:color w:val="0000FF"/>
                <w:w w:val="99"/>
              </w:rPr>
              <w:t>9</w:t>
            </w: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360" w:type="dxa"/>
            <w:vAlign w:val="bottom"/>
            <w:gridSpan w:val="3"/>
          </w:tcPr>
          <w:p>
            <w:pPr>
              <w:jc w:val="center"/>
              <w:ind w:left="1090"/>
              <w:spacing w:after="0"/>
              <w:rPr>
                <w:sz w:val="20"/>
                <w:szCs w:val="20"/>
                <w:color w:val="auto"/>
              </w:rPr>
            </w:pPr>
            <w:r>
              <w:rPr>
                <w:rFonts w:ascii="Arial" w:cs="Arial" w:eastAsia="Arial" w:hAnsi="Arial"/>
                <w:sz w:val="18"/>
                <w:szCs w:val="18"/>
                <w:color w:val="0000FF"/>
                <w:w w:val="89"/>
              </w:rPr>
              <w:t>11</w:t>
            </w: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2.</w:t>
            </w:r>
          </w:p>
        </w:tc>
        <w:tc>
          <w:tcPr>
            <w:tcW w:w="360" w:type="dxa"/>
            <w:vAlign w:val="bottom"/>
            <w:gridSpan w:val="2"/>
          </w:tcPr>
          <w:p>
            <w:pPr>
              <w:spacing w:after="0"/>
              <w:rPr>
                <w:sz w:val="18"/>
                <w:szCs w:val="18"/>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20" w:type="dxa"/>
            <w:vAlign w:val="bottom"/>
            <w:gridSpan w:val="4"/>
          </w:tcPr>
          <w:p>
            <w:pPr>
              <w:jc w:val="center"/>
              <w:ind w:left="990"/>
              <w:spacing w:after="0"/>
              <w:rPr>
                <w:sz w:val="20"/>
                <w:szCs w:val="20"/>
                <w:color w:val="auto"/>
              </w:rPr>
            </w:pPr>
            <w:r>
              <w:rPr>
                <w:rFonts w:ascii="Arial" w:cs="Arial" w:eastAsia="Arial" w:hAnsi="Arial"/>
                <w:sz w:val="18"/>
                <w:szCs w:val="18"/>
                <w:color w:val="0000FF"/>
                <w:w w:val="99"/>
              </w:rPr>
              <w:t>26</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3.</w:t>
            </w:r>
          </w:p>
        </w:tc>
        <w:tc>
          <w:tcPr>
            <w:tcW w:w="360" w:type="dxa"/>
            <w:vAlign w:val="bottom"/>
            <w:gridSpan w:val="2"/>
          </w:tcPr>
          <w:p>
            <w:pPr>
              <w:spacing w:after="0"/>
              <w:rPr>
                <w:sz w:val="18"/>
                <w:szCs w:val="18"/>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42</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4.</w:t>
            </w:r>
          </w:p>
        </w:tc>
        <w:tc>
          <w:tcPr>
            <w:tcW w:w="360" w:type="dxa"/>
            <w:vAlign w:val="bottom"/>
            <w:gridSpan w:val="2"/>
          </w:tcPr>
          <w:p>
            <w:pPr>
              <w:spacing w:after="0"/>
              <w:rPr>
                <w:sz w:val="18"/>
                <w:szCs w:val="18"/>
                <w:color w:val="auto"/>
              </w:rPr>
            </w:pP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460" w:type="dxa"/>
            <w:vAlign w:val="bottom"/>
            <w:gridSpan w:val="4"/>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43</w:t>
            </w:r>
          </w:p>
        </w:tc>
      </w:tr>
      <w:tr>
        <w:trPr>
          <w:trHeight w:val="515"/>
        </w:trPr>
        <w:tc>
          <w:tcPr>
            <w:tcW w:w="3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gridSpan w:val="8"/>
          </w:tcPr>
          <w:p>
            <w:pPr>
              <w:ind w:left="60"/>
              <w:spacing w:after="0"/>
              <w:rPr>
                <w:sz w:val="20"/>
                <w:szCs w:val="20"/>
                <w:color w:val="auto"/>
              </w:rPr>
            </w:pPr>
            <w:r>
              <w:rPr>
                <w:rFonts w:ascii="Arial" w:cs="Arial" w:eastAsia="Arial" w:hAnsi="Arial"/>
                <w:sz w:val="18"/>
                <w:szCs w:val="18"/>
                <w:b w:val="1"/>
                <w:bCs w:val="1"/>
                <w:color w:val="auto"/>
              </w:rPr>
              <w:t>Part II - Other Information</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920" w:type="dxa"/>
            <w:vAlign w:val="bottom"/>
            <w:gridSpan w:val="3"/>
          </w:tcPr>
          <w:p>
            <w:pPr>
              <w:jc w:val="center"/>
              <w:ind w:right="360"/>
              <w:spacing w:after="0" w:line="195" w:lineRule="exact"/>
              <w:rPr>
                <w:sz w:val="20"/>
                <w:szCs w:val="20"/>
                <w:color w:val="auto"/>
              </w:rPr>
            </w:pPr>
            <w:r>
              <w:rPr>
                <w:rFonts w:ascii="Arial" w:cs="Arial" w:eastAsia="Arial" w:hAnsi="Arial"/>
                <w:sz w:val="18"/>
                <w:szCs w:val="18"/>
                <w:color w:val="0000FF"/>
              </w:rPr>
              <w:t>Item 1.</w:t>
            </w:r>
          </w:p>
        </w:tc>
        <w:tc>
          <w:tcPr>
            <w:tcW w:w="8160" w:type="dxa"/>
            <w:vAlign w:val="bottom"/>
            <w:gridSpan w:val="18"/>
          </w:tcPr>
          <w:p>
            <w:pPr>
              <w:spacing w:after="0" w:line="195" w:lineRule="exact"/>
              <w:rPr>
                <w:sz w:val="20"/>
                <w:szCs w:val="20"/>
                <w:color w:val="auto"/>
              </w:rPr>
            </w:pPr>
            <w:r>
              <w:rPr>
                <w:rFonts w:ascii="Arial" w:cs="Arial" w:eastAsia="Arial" w:hAnsi="Arial"/>
                <w:sz w:val="18"/>
                <w:szCs w:val="18"/>
                <w:color w:val="0000FF"/>
              </w:rPr>
              <w:t>Legal Proceedings</w:t>
            </w:r>
          </w:p>
        </w:tc>
        <w:tc>
          <w:tcPr>
            <w:tcW w:w="1520" w:type="dxa"/>
            <w:vAlign w:val="bottom"/>
            <w:gridSpan w:val="4"/>
          </w:tcPr>
          <w:p>
            <w:pPr>
              <w:jc w:val="center"/>
              <w:ind w:left="990"/>
              <w:spacing w:after="0" w:line="195" w:lineRule="exact"/>
              <w:rPr>
                <w:sz w:val="20"/>
                <w:szCs w:val="20"/>
                <w:color w:val="auto"/>
              </w:rPr>
            </w:pPr>
            <w:r>
              <w:rPr>
                <w:rFonts w:ascii="Arial" w:cs="Arial" w:eastAsia="Arial" w:hAnsi="Arial"/>
                <w:sz w:val="18"/>
                <w:szCs w:val="18"/>
                <w:color w:val="0000FF"/>
                <w:w w:val="99"/>
              </w:rPr>
              <w:t>44</w:t>
            </w:r>
          </w:p>
        </w:tc>
      </w:tr>
      <w:tr>
        <w:trPr>
          <w:trHeight w:val="210"/>
        </w:trPr>
        <w:tc>
          <w:tcPr>
            <w:tcW w:w="32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0000FF"/>
                <w:w w:val="92"/>
              </w:rPr>
              <w:t>Item 1A.</w:t>
            </w:r>
          </w:p>
        </w:tc>
        <w:tc>
          <w:tcPr>
            <w:tcW w:w="300" w:type="dxa"/>
            <w:vAlign w:val="bottom"/>
          </w:tcPr>
          <w:p>
            <w:pPr>
              <w:spacing w:after="0"/>
              <w:rPr>
                <w:sz w:val="18"/>
                <w:szCs w:val="18"/>
                <w:color w:val="auto"/>
              </w:rPr>
            </w:pPr>
          </w:p>
        </w:tc>
        <w:tc>
          <w:tcPr>
            <w:tcW w:w="10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18"/>
                <w:szCs w:val="18"/>
                <w:color w:val="auto"/>
              </w:rPr>
            </w:pPr>
          </w:p>
        </w:tc>
        <w:tc>
          <w:tcPr>
            <w:tcW w:w="6680" w:type="dxa"/>
            <w:vAlign w:val="bottom"/>
            <w:gridSpan w:val="13"/>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44</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520" w:type="dxa"/>
            <w:vAlign w:val="bottom"/>
            <w:gridSpan w:val="4"/>
          </w:tcPr>
          <w:p>
            <w:pPr>
              <w:jc w:val="center"/>
              <w:ind w:left="990"/>
              <w:spacing w:after="0"/>
              <w:rPr>
                <w:sz w:val="20"/>
                <w:szCs w:val="20"/>
                <w:color w:val="auto"/>
              </w:rPr>
            </w:pPr>
            <w:r>
              <w:rPr>
                <w:rFonts w:ascii="Arial" w:cs="Arial" w:eastAsia="Arial" w:hAnsi="Arial"/>
                <w:sz w:val="18"/>
                <w:szCs w:val="18"/>
                <w:color w:val="0000FF"/>
                <w:w w:val="99"/>
              </w:rPr>
              <w:t>45</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3.</w:t>
            </w:r>
          </w:p>
        </w:tc>
        <w:tc>
          <w:tcPr>
            <w:tcW w:w="360" w:type="dxa"/>
            <w:vAlign w:val="bottom"/>
            <w:gridSpan w:val="2"/>
          </w:tcPr>
          <w:p>
            <w:pPr>
              <w:spacing w:after="0"/>
              <w:rPr>
                <w:sz w:val="18"/>
                <w:szCs w:val="18"/>
                <w:color w:val="auto"/>
              </w:rPr>
            </w:pP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3320" w:type="dxa"/>
            <w:vAlign w:val="bottom"/>
            <w:gridSpan w:val="3"/>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45</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4.</w:t>
            </w:r>
          </w:p>
        </w:tc>
        <w:tc>
          <w:tcPr>
            <w:tcW w:w="360" w:type="dxa"/>
            <w:vAlign w:val="bottom"/>
            <w:gridSpan w:val="2"/>
          </w:tcPr>
          <w:p>
            <w:pPr>
              <w:spacing w:after="0"/>
              <w:rPr>
                <w:sz w:val="18"/>
                <w:szCs w:val="18"/>
                <w:color w:val="auto"/>
              </w:rPr>
            </w:pPr>
          </w:p>
        </w:tc>
        <w:tc>
          <w:tcPr>
            <w:tcW w:w="254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5620" w:type="dxa"/>
            <w:vAlign w:val="bottom"/>
            <w:gridSpan w:val="9"/>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45</w:t>
            </w:r>
          </w:p>
        </w:tc>
      </w:tr>
      <w:tr>
        <w:trPr>
          <w:trHeight w:val="209"/>
        </w:trPr>
        <w:tc>
          <w:tcPr>
            <w:tcW w:w="320" w:type="dxa"/>
            <w:vAlign w:val="bottom"/>
          </w:tcPr>
          <w:p>
            <w:pPr>
              <w:spacing w:after="0"/>
              <w:rPr>
                <w:sz w:val="18"/>
                <w:szCs w:val="18"/>
                <w:color w:val="auto"/>
              </w:rPr>
            </w:pPr>
          </w:p>
        </w:tc>
        <w:tc>
          <w:tcPr>
            <w:tcW w:w="56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rPr>
              <w:t>Item 5.</w:t>
            </w:r>
          </w:p>
        </w:tc>
        <w:tc>
          <w:tcPr>
            <w:tcW w:w="360" w:type="dxa"/>
            <w:vAlign w:val="bottom"/>
            <w:tcBorders>
              <w:top w:val="single" w:sz="8" w:color="0000FF"/>
            </w:tcBorders>
            <w:gridSpan w:val="2"/>
          </w:tcPr>
          <w:p>
            <w:pPr>
              <w:spacing w:after="0"/>
              <w:rPr>
                <w:sz w:val="18"/>
                <w:szCs w:val="18"/>
                <w:color w:val="auto"/>
              </w:rPr>
            </w:pPr>
          </w:p>
        </w:tc>
        <w:tc>
          <w:tcPr>
            <w:tcW w:w="14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2"/>
          </w:tcPr>
          <w:p>
            <w:pPr>
              <w:spacing w:after="0"/>
              <w:rPr>
                <w:sz w:val="18"/>
                <w:szCs w:val="18"/>
                <w:color w:val="auto"/>
              </w:rPr>
            </w:pPr>
          </w:p>
        </w:tc>
        <w:tc>
          <w:tcPr>
            <w:tcW w:w="6240" w:type="dxa"/>
            <w:vAlign w:val="bottom"/>
            <w:gridSpan w:val="12"/>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45</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760" w:type="dxa"/>
            <w:vAlign w:val="bottom"/>
            <w:gridSpan w:val="14"/>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6.</w:t>
            </w:r>
          </w:p>
        </w:tc>
        <w:tc>
          <w:tcPr>
            <w:tcW w:w="360" w:type="dxa"/>
            <w:vAlign w:val="bottom"/>
            <w:gridSpan w:val="2"/>
          </w:tcPr>
          <w:p>
            <w:pPr>
              <w:spacing w:after="0"/>
              <w:rPr>
                <w:sz w:val="18"/>
                <w:szCs w:val="18"/>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6760" w:type="dxa"/>
            <w:vAlign w:val="bottom"/>
            <w:gridSpan w:val="14"/>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46</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00" w:type="dxa"/>
            <w:vAlign w:val="bottom"/>
            <w:gridSpan w:val="16"/>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w w:val="97"/>
              </w:rPr>
              <w:t>Signatures</w:t>
            </w:r>
          </w:p>
        </w:tc>
        <w:tc>
          <w:tcPr>
            <w:tcW w:w="7300" w:type="dxa"/>
            <w:vAlign w:val="bottom"/>
            <w:gridSpan w:val="16"/>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47</w:t>
            </w: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931" w:right="6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7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related to U.S. and global economies and the effect on our business, results of operations, and financial condition;</w:t>
      </w:r>
    </w:p>
    <w:p>
      <w:pPr>
        <w:spacing w:after="0" w:line="63" w:lineRule="exact"/>
        <w:rPr>
          <w:rFonts w:ascii="Arial" w:cs="Arial" w:eastAsia="Arial" w:hAnsi="Arial"/>
          <w:sz w:val="18"/>
          <w:szCs w:val="18"/>
          <w:i w:val="1"/>
          <w:iCs w:val="1"/>
          <w:color w:val="auto"/>
        </w:rPr>
      </w:pPr>
    </w:p>
    <w:p>
      <w:pPr>
        <w:ind w:left="66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and any fluctuations in such performance, including our net revenue, costs of revenue, gross profit, and operating expenses, and our ability to achieve future profitability;</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scale new products and services, such as our credit card platform;</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expand our operations;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enhance our platform and services and develop and expand our capabilities;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further attract, retain, diversify, and expand our customer base;</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our relationships with Issuing Banks, Card Networks, and the other third parties with which we work;</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expand internationally;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past and future acquisitions, investments, and other strategic investments;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in existing and new markets and offerings;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social, and/or economic instability or military conflict;</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and protect our brand;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or developments in laws and regulations and our ability to comply with laws and regulations;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defend litigation brought against us;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repurchase shares under authorized share repurchase programs and receive expected financial benefits; 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effective disclosure controls and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both"/>
        <w:spacing w:after="0" w:line="252" w:lineRule="auto"/>
        <w:rPr>
          <w:sz w:val="20"/>
          <w:szCs w:val="20"/>
          <w:color w:val="auto"/>
        </w:rPr>
      </w:pPr>
      <w:r>
        <w:rPr>
          <w:rFonts w:ascii="Arial" w:cs="Arial" w:eastAsia="Arial" w:hAnsi="Arial"/>
          <w:sz w:val="18"/>
          <w:szCs w:val="18"/>
          <w:i w:val="1"/>
          <w:iCs w:val="1"/>
          <w:color w:val="auto"/>
        </w:rPr>
        <w:t>We caution you that the foregoing list may not contain all of the forward-looking statements made in this Quarterly Report on Form 10-Q. 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or incorporated by reference in the section titled “Risk Factors” in our most recently filed Annual Report on Form 10-K for the fiscal year ended December 31, 2024 (the “2024 Annual Report”), as may be updated from time to time by this Quarterly Report on Form 10-Q or other quarterly or periodic filings.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10 -Q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Quarterly Report on Form 10-Q.</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24"/>
              <w:spacing w:after="0"/>
              <w:rPr>
                <w:sz w:val="20"/>
                <w:szCs w:val="20"/>
                <w:color w:val="auto"/>
              </w:rPr>
            </w:pPr>
            <w:r>
              <w:rPr>
                <w:rFonts w:ascii="Arial" w:cs="Arial" w:eastAsia="Arial" w:hAnsi="Arial"/>
                <w:sz w:val="13"/>
                <w:szCs w:val="13"/>
                <w:b w:val="1"/>
                <w:bCs w:val="1"/>
                <w:color w:val="auto"/>
              </w:rPr>
              <w:t>December 31,</w:t>
            </w:r>
          </w:p>
        </w:tc>
      </w:tr>
      <w:tr>
        <w:trPr>
          <w:trHeight w:val="183"/>
        </w:trPr>
        <w:tc>
          <w:tcPr>
            <w:tcW w:w="8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2024</w:t>
            </w:r>
          </w:p>
        </w:tc>
      </w:tr>
      <w:tr>
        <w:trPr>
          <w:trHeight w:val="189"/>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732,722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923,016</w:t>
            </w:r>
          </w:p>
        </w:tc>
      </w:tr>
      <w:tr>
        <w:trPr>
          <w:trHeight w:val="201"/>
        </w:trPr>
        <w:tc>
          <w:tcPr>
            <w:tcW w:w="8280" w:type="dxa"/>
            <w:vAlign w:val="bottom"/>
          </w:tcPr>
          <w:p>
            <w:pPr>
              <w:ind w:left="140"/>
              <w:spacing w:after="0"/>
              <w:rPr>
                <w:sz w:val="20"/>
                <w:szCs w:val="20"/>
                <w:color w:val="auto"/>
              </w:rPr>
            </w:pPr>
            <w:r>
              <w:rPr>
                <w:rFonts w:ascii="Arial" w:cs="Arial" w:eastAsia="Arial" w:hAnsi="Arial"/>
                <w:sz w:val="15"/>
                <w:szCs w:val="15"/>
                <w:color w:val="auto"/>
              </w:rPr>
              <w:t>Restricted cash</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7,606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8,500</w:t>
            </w:r>
          </w:p>
        </w:tc>
      </w:tr>
      <w:tr>
        <w:trPr>
          <w:trHeight w:val="244"/>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Short-term investments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88,865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179,409</w:t>
            </w:r>
          </w:p>
        </w:tc>
      </w:tr>
      <w:tr>
        <w:trPr>
          <w:trHeight w:val="201"/>
        </w:trPr>
        <w:tc>
          <w:tcPr>
            <w:tcW w:w="8280" w:type="dxa"/>
            <w:vAlign w:val="bottom"/>
          </w:tcPr>
          <w:p>
            <w:pPr>
              <w:ind w:left="140"/>
              <w:spacing w:after="0"/>
              <w:rPr>
                <w:sz w:val="20"/>
                <w:szCs w:val="20"/>
                <w:color w:val="auto"/>
              </w:rPr>
            </w:pPr>
            <w:r>
              <w:rPr>
                <w:rFonts w:ascii="Arial" w:cs="Arial" w:eastAsia="Arial" w:hAnsi="Arial"/>
                <w:sz w:val="15"/>
                <w:szCs w:val="15"/>
                <w:color w:val="auto"/>
              </w:rPr>
              <w:t>Accounts receivable, net</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37,182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29,988</w:t>
            </w:r>
          </w:p>
        </w:tc>
      </w:tr>
      <w:tr>
        <w:trPr>
          <w:trHeight w:val="204"/>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Settlements receivable, net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14,973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16,203</w:t>
            </w:r>
          </w:p>
        </w:tc>
      </w:tr>
      <w:tr>
        <w:trPr>
          <w:trHeight w:val="240"/>
        </w:trPr>
        <w:tc>
          <w:tcPr>
            <w:tcW w:w="8280" w:type="dxa"/>
            <w:vAlign w:val="bottom"/>
          </w:tcPr>
          <w:p>
            <w:pPr>
              <w:ind w:left="140"/>
              <w:spacing w:after="0"/>
              <w:rPr>
                <w:sz w:val="20"/>
                <w:szCs w:val="20"/>
                <w:color w:val="auto"/>
              </w:rPr>
            </w:pPr>
            <w:r>
              <w:rPr>
                <w:rFonts w:ascii="Arial" w:cs="Arial" w:eastAsia="Arial" w:hAnsi="Arial"/>
                <w:sz w:val="15"/>
                <w:szCs w:val="15"/>
                <w:color w:val="auto"/>
              </w:rPr>
              <w:t>Network incentives receivable</w:t>
            </w:r>
          </w:p>
        </w:tc>
        <w:tc>
          <w:tcPr>
            <w:tcW w:w="28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85,085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66,776</w:t>
            </w:r>
          </w:p>
        </w:tc>
      </w:tr>
      <w:tr>
        <w:trPr>
          <w:trHeight w:val="206"/>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23,800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25,405</w:t>
            </w:r>
          </w:p>
        </w:tc>
      </w:tr>
      <w:tr>
        <w:trPr>
          <w:trHeight w:val="195"/>
        </w:trPr>
        <w:tc>
          <w:tcPr>
            <w:tcW w:w="828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28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990,233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1,249,297</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 net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5,154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2,712</w:t>
            </w: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50,238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37,523</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26,845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29,774</w:t>
            </w: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123,523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123,523</w:t>
            </w: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18,597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20,375</w:t>
            </w:r>
          </w:p>
        </w:tc>
      </w:tr>
      <w:tr>
        <w:trPr>
          <w:trHeight w:val="197"/>
        </w:trPr>
        <w:tc>
          <w:tcPr>
            <w:tcW w:w="828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1,214,590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1,463,204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82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3,440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w:t>
            </w:r>
          </w:p>
        </w:tc>
      </w:tr>
      <w:tr>
        <w:trPr>
          <w:trHeight w:val="201"/>
        </w:trPr>
        <w:tc>
          <w:tcPr>
            <w:tcW w:w="8280" w:type="dxa"/>
            <w:vAlign w:val="bottom"/>
          </w:tcPr>
          <w:p>
            <w:pPr>
              <w:ind w:left="140"/>
              <w:spacing w:after="0"/>
              <w:rPr>
                <w:sz w:val="20"/>
                <w:szCs w:val="20"/>
                <w:color w:val="auto"/>
              </w:rPr>
            </w:pPr>
            <w:r>
              <w:rPr>
                <w:rFonts w:ascii="Arial" w:cs="Arial" w:eastAsia="Arial" w:hAnsi="Arial"/>
                <w:sz w:val="15"/>
                <w:szCs w:val="15"/>
                <w:color w:val="auto"/>
              </w:rPr>
              <w:t>Revenue share payable</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199,640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193,399</w:t>
            </w:r>
          </w:p>
        </w:tc>
      </w:tr>
      <w:tr>
        <w:trPr>
          <w:trHeight w:val="204"/>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expenses and other current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158,216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177,059</w:t>
            </w:r>
          </w:p>
        </w:tc>
      </w:tr>
      <w:tr>
        <w:trPr>
          <w:trHeight w:val="195"/>
        </w:trPr>
        <w:tc>
          <w:tcPr>
            <w:tcW w:w="828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28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361,296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370,985</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2,976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w:t>
            </w:r>
          </w:p>
        </w:tc>
      </w:tr>
      <w:tr>
        <w:trPr>
          <w:trHeight w:val="20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6,885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6,331</w:t>
            </w: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371,157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378,186</w:t>
            </w:r>
          </w:p>
        </w:tc>
      </w:tr>
      <w:tr>
        <w:trPr>
          <w:trHeight w:val="181"/>
        </w:trPr>
        <w:tc>
          <w:tcPr>
            <w:tcW w:w="8280" w:type="dxa"/>
            <w:vAlign w:val="bottom"/>
          </w:tcPr>
          <w:p>
            <w:pPr>
              <w:ind w:left="20"/>
              <w:spacing w:after="0"/>
              <w:rPr>
                <w:sz w:val="20"/>
                <w:szCs w:val="20"/>
                <w:color w:val="auto"/>
              </w:rPr>
            </w:pPr>
            <w:r>
              <w:rPr>
                <w:rFonts w:ascii="Arial" w:cs="Arial" w:eastAsia="Arial" w:hAnsi="Arial"/>
                <w:sz w:val="15"/>
                <w:szCs w:val="15"/>
                <w:color w:val="auto"/>
              </w:rPr>
              <w:t>Commitments and contingencies (Note 10)</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9"/>
        </w:trPr>
        <w:tc>
          <w:tcPr>
            <w:tcW w:w="8280" w:type="dxa"/>
            <w:vAlign w:val="bottom"/>
          </w:tcPr>
          <w:p>
            <w:pPr>
              <w:ind w:left="20"/>
              <w:spacing w:after="0"/>
              <w:rPr>
                <w:sz w:val="20"/>
                <w:szCs w:val="20"/>
                <w:color w:val="auto"/>
              </w:rPr>
            </w:pPr>
            <w:r>
              <w:rPr>
                <w:rFonts w:ascii="Arial" w:cs="Arial" w:eastAsia="Arial" w:hAnsi="Arial"/>
                <w:sz w:val="15"/>
                <w:szCs w:val="15"/>
                <w:color w:val="auto"/>
              </w:rPr>
              <w:t>Preferred stock, $0.0001 par value; 100,000 and 100,000 shares authorized, no shares issued and outstanding as of</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7"/>
        </w:trPr>
        <w:tc>
          <w:tcPr>
            <w:tcW w:w="8280" w:type="dxa"/>
            <w:vAlign w:val="bottom"/>
          </w:tcPr>
          <w:p>
            <w:pPr>
              <w:ind w:left="20"/>
              <w:spacing w:after="0"/>
              <w:rPr>
                <w:sz w:val="20"/>
                <w:szCs w:val="20"/>
                <w:color w:val="auto"/>
              </w:rPr>
            </w:pPr>
            <w:r>
              <w:rPr>
                <w:rFonts w:ascii="Arial" w:cs="Arial" w:eastAsia="Arial" w:hAnsi="Arial"/>
                <w:sz w:val="15"/>
                <w:szCs w:val="15"/>
                <w:color w:val="auto"/>
              </w:rPr>
              <w:t>June 30, 2025 and December 31, 2024, respectively</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$0.0001 par value: 1,500,000 and 1,500,000 Class A shares authorized, 416,198 and 470,824 shares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75"/>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issued and outstanding as of June 30, 2025 and December 31, 2024, respectively. 600,000 and 600,000 Class B shares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3"/>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authorized, 33,261 and 33,472 shares issued and outstanding as of June 30, 2025 and December 31, 2024, respectively</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Additional paid-in capital</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1,650,305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1,883,190</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w:t>
            </w:r>
          </w:p>
        </w:tc>
      </w:tr>
      <w:tr>
        <w:trPr>
          <w:trHeight w:val="20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deficit</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(806,815)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(797,908)</w:t>
            </w:r>
          </w:p>
        </w:tc>
      </w:tr>
      <w:tr>
        <w:trPr>
          <w:trHeight w:val="196"/>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843,433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1,085,018</w:t>
            </w:r>
          </w:p>
        </w:tc>
      </w:tr>
      <w:tr>
        <w:trPr>
          <w:trHeight w:val="197"/>
        </w:trPr>
        <w:tc>
          <w:tcPr>
            <w:tcW w:w="828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1,214,590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1,463,204</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June 30,</w:t>
            </w:r>
          </w:p>
        </w:tc>
        <w:tc>
          <w:tcPr>
            <w:tcW w:w="320" w:type="dxa"/>
            <w:vAlign w:val="bottom"/>
          </w:tcPr>
          <w:p>
            <w:pPr>
              <w:spacing w:after="0"/>
              <w:rPr>
                <w:sz w:val="15"/>
                <w:szCs w:val="15"/>
                <w:color w:val="auto"/>
              </w:rPr>
            </w:pPr>
          </w:p>
        </w:tc>
        <w:tc>
          <w:tcPr>
            <w:tcW w:w="2520" w:type="dxa"/>
            <w:vAlign w:val="bottom"/>
            <w:gridSpan w:val="4"/>
          </w:tcPr>
          <w:p>
            <w:pPr>
              <w:jc w:val="right"/>
              <w:ind w:right="524"/>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54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2024</w:t>
            </w:r>
          </w:p>
        </w:tc>
      </w:tr>
      <w:tr>
        <w:trPr>
          <w:trHeight w:val="198"/>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150,392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125,270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289,465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243,237</w:t>
            </w:r>
          </w:p>
        </w:tc>
      </w:tr>
      <w:tr>
        <w:trPr>
          <w:trHeight w:val="201"/>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Costs of revenue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46,331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45,917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86,725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79,725</w:t>
            </w:r>
          </w:p>
        </w:tc>
      </w:tr>
      <w:tr>
        <w:trPr>
          <w:trHeight w:val="197"/>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104,061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79,353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202,740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163,512</w:t>
            </w:r>
          </w:p>
        </w:tc>
      </w:tr>
      <w:tr>
        <w:trPr>
          <w:trHeight w:val="201"/>
        </w:trPr>
        <w:tc>
          <w:tcPr>
            <w:tcW w:w="5480" w:type="dxa"/>
            <w:vAlign w:val="bottom"/>
          </w:tcPr>
          <w:p>
            <w:pPr>
              <w:ind w:left="20"/>
              <w:spacing w:after="0"/>
              <w:rPr>
                <w:sz w:val="20"/>
                <w:szCs w:val="20"/>
                <w:color w:val="auto"/>
              </w:rPr>
            </w:pPr>
            <w:r>
              <w:rPr>
                <w:rFonts w:ascii="Arial" w:cs="Arial" w:eastAsia="Arial" w:hAnsi="Arial"/>
                <w:sz w:val="15"/>
                <w:szCs w:val="15"/>
                <w:color w:val="auto"/>
              </w:rPr>
              <w:t>Operating expenses (benefit):</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4"/>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 and benefits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81,409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103,166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167,459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198,156</w:t>
            </w:r>
          </w:p>
        </w:tc>
      </w:tr>
      <w:tr>
        <w:trPr>
          <w:trHeight w:val="201"/>
        </w:trPr>
        <w:tc>
          <w:tcPr>
            <w:tcW w:w="5480" w:type="dxa"/>
            <w:vAlign w:val="bottom"/>
          </w:tcPr>
          <w:p>
            <w:pPr>
              <w:ind w:left="140"/>
              <w:spacing w:after="0"/>
              <w:rPr>
                <w:sz w:val="20"/>
                <w:szCs w:val="20"/>
                <w:color w:val="auto"/>
              </w:rPr>
            </w:pPr>
            <w:r>
              <w:rPr>
                <w:rFonts w:ascii="Arial" w:cs="Arial" w:eastAsia="Arial" w:hAnsi="Arial"/>
                <w:sz w:val="15"/>
                <w:szCs w:val="15"/>
                <w:color w:val="auto"/>
              </w:rPr>
              <w:t>Technology</w:t>
            </w:r>
          </w:p>
        </w:tc>
        <w:tc>
          <w:tcPr>
            <w:tcW w:w="30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16,102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14,769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30,913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27,887</w:t>
            </w:r>
          </w:p>
        </w:tc>
      </w:tr>
      <w:tr>
        <w:trPr>
          <w:trHeight w:val="204"/>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Professional services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8,678</w:t>
            </w:r>
          </w:p>
        </w:tc>
      </w:tr>
      <w:tr>
        <w:trPr>
          <w:trHeight w:val="201"/>
        </w:trPr>
        <w:tc>
          <w:tcPr>
            <w:tcW w:w="5480" w:type="dxa"/>
            <w:vAlign w:val="bottom"/>
          </w:tcPr>
          <w:p>
            <w:pPr>
              <w:ind w:left="140"/>
              <w:spacing w:after="0"/>
              <w:rPr>
                <w:sz w:val="20"/>
                <w:szCs w:val="20"/>
                <w:color w:val="auto"/>
              </w:rPr>
            </w:pPr>
            <w:r>
              <w:rPr>
                <w:rFonts w:ascii="Arial" w:cs="Arial" w:eastAsia="Arial" w:hAnsi="Arial"/>
                <w:sz w:val="15"/>
                <w:szCs w:val="15"/>
                <w:color w:val="auto"/>
              </w:rPr>
              <w:t>Occupancy</w:t>
            </w:r>
          </w:p>
        </w:tc>
        <w:tc>
          <w:tcPr>
            <w:tcW w:w="30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843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1,204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2,298</w:t>
            </w:r>
          </w:p>
        </w:tc>
      </w:tr>
      <w:tr>
        <w:trPr>
          <w:trHeight w:val="204"/>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6,653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3,956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7,493</w:t>
            </w:r>
          </w:p>
        </w:tc>
      </w:tr>
      <w:tr>
        <w:trPr>
          <w:trHeight w:val="201"/>
        </w:trPr>
        <w:tc>
          <w:tcPr>
            <w:tcW w:w="5480" w:type="dxa"/>
            <w:vAlign w:val="bottom"/>
          </w:tcPr>
          <w:p>
            <w:pPr>
              <w:ind w:left="140"/>
              <w:spacing w:after="0"/>
              <w:rPr>
                <w:sz w:val="20"/>
                <w:szCs w:val="20"/>
                <w:color w:val="auto"/>
              </w:rPr>
            </w:pPr>
            <w:r>
              <w:rPr>
                <w:rFonts w:ascii="Arial" w:cs="Arial" w:eastAsia="Arial" w:hAnsi="Arial"/>
                <w:sz w:val="15"/>
                <w:szCs w:val="15"/>
                <w:color w:val="auto"/>
              </w:rPr>
              <w:t>Marketing and advertising</w:t>
            </w:r>
          </w:p>
        </w:tc>
        <w:tc>
          <w:tcPr>
            <w:tcW w:w="30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711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1,106</w:t>
            </w:r>
          </w:p>
        </w:tc>
      </w:tr>
      <w:tr>
        <w:trPr>
          <w:trHeight w:val="204"/>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operating expenses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7,322</w:t>
            </w:r>
          </w:p>
        </w:tc>
      </w:tr>
      <w:tr>
        <w:trPr>
          <w:trHeight w:val="201"/>
        </w:trPr>
        <w:tc>
          <w:tcPr>
            <w:tcW w:w="5480" w:type="dxa"/>
            <w:vAlign w:val="bottom"/>
          </w:tcPr>
          <w:p>
            <w:pPr>
              <w:ind w:left="140"/>
              <w:spacing w:after="0"/>
              <w:rPr>
                <w:sz w:val="20"/>
                <w:szCs w:val="20"/>
                <w:color w:val="auto"/>
              </w:rPr>
            </w:pPr>
            <w:r>
              <w:rPr>
                <w:rFonts w:ascii="Arial" w:cs="Arial" w:eastAsia="Arial" w:hAnsi="Arial"/>
                <w:sz w:val="15"/>
                <w:szCs w:val="15"/>
                <w:color w:val="auto"/>
              </w:rPr>
              <w:t>Executive chairman long-term performance award</w:t>
            </w:r>
          </w:p>
        </w:tc>
        <w:tc>
          <w:tcPr>
            <w:tcW w:w="3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(157,738)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(144,617)</w:t>
            </w:r>
          </w:p>
        </w:tc>
      </w:tr>
      <w:tr>
        <w:trPr>
          <w:trHeight w:val="197"/>
        </w:trPr>
        <w:tc>
          <w:tcPr>
            <w:tcW w:w="5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Total operating expenses (benefit)</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113,289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(25,689)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230,506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108,323</w:t>
            </w:r>
          </w:p>
        </w:tc>
      </w:tr>
      <w:tr>
        <w:trPr>
          <w:trHeight w:val="195"/>
        </w:trPr>
        <w:tc>
          <w:tcPr>
            <w:tcW w:w="5480" w:type="dxa"/>
            <w:vAlign w:val="bottom"/>
          </w:tcPr>
          <w:p>
            <w:pPr>
              <w:ind w:left="20"/>
              <w:spacing w:after="0"/>
              <w:rPr>
                <w:sz w:val="20"/>
                <w:szCs w:val="20"/>
                <w:color w:val="auto"/>
              </w:rPr>
            </w:pPr>
            <w:r>
              <w:rPr>
                <w:rFonts w:ascii="Arial" w:cs="Arial" w:eastAsia="Arial" w:hAnsi="Arial"/>
                <w:sz w:val="15"/>
                <w:szCs w:val="15"/>
                <w:color w:val="auto"/>
              </w:rPr>
              <w:t>(Loss) income from operations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(9,228)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105,042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(27,766)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55,189</w:t>
            </w: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8,787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14,216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19,300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28,143</w:t>
            </w:r>
          </w:p>
        </w:tc>
      </w:tr>
      <w:tr>
        <w:trPr>
          <w:trHeight w:val="195"/>
        </w:trPr>
        <w:tc>
          <w:tcPr>
            <w:tcW w:w="5480" w:type="dxa"/>
            <w:vAlign w:val="bottom"/>
          </w:tcPr>
          <w:p>
            <w:pPr>
              <w:ind w:left="20"/>
              <w:spacing w:after="0"/>
              <w:rPr>
                <w:sz w:val="20"/>
                <w:szCs w:val="20"/>
                <w:color w:val="auto"/>
              </w:rPr>
            </w:pPr>
            <w:r>
              <w:rPr>
                <w:rFonts w:ascii="Arial" w:cs="Arial" w:eastAsia="Arial" w:hAnsi="Arial"/>
                <w:sz w:val="15"/>
                <w:szCs w:val="15"/>
                <w:color w:val="auto"/>
              </w:rPr>
              <w:t>(Loss) income before income tax expense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119,258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(8,466)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83,332</w:t>
            </w: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w:t>
            </w:r>
          </w:p>
        </w:tc>
      </w:tr>
      <w:tr>
        <w:trPr>
          <w:trHeight w:val="195"/>
        </w:trPr>
        <w:tc>
          <w:tcPr>
            <w:tcW w:w="548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(647)</w:t>
            </w:r>
          </w:p>
        </w:tc>
        <w:tc>
          <w:tcPr>
            <w:tcW w:w="10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119,108</w:t>
            </w:r>
          </w:p>
        </w:tc>
        <w:tc>
          <w:tcPr>
            <w:tcW w:w="10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(8,907)</w:t>
            </w:r>
          </w:p>
        </w:tc>
        <w:tc>
          <w:tcPr>
            <w:tcW w:w="10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83,048</w:t>
            </w: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 (loss), net of taxes: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1"/>
        </w:trPr>
        <w:tc>
          <w:tcPr>
            <w:tcW w:w="5480" w:type="dxa"/>
            <w:vAlign w:val="bottom"/>
          </w:tcPr>
          <w:p>
            <w:pPr>
              <w:ind w:left="240"/>
              <w:spacing w:after="0"/>
              <w:rPr>
                <w:sz w:val="20"/>
                <w:szCs w:val="20"/>
                <w:color w:val="auto"/>
              </w:rPr>
            </w:pPr>
            <w:r>
              <w:rPr>
                <w:rFonts w:ascii="Arial" w:cs="Arial" w:eastAsia="Arial" w:hAnsi="Arial"/>
                <w:sz w:val="15"/>
                <w:szCs w:val="15"/>
                <w:color w:val="auto"/>
              </w:rPr>
              <w:t>Change in foreign currency translation adjustment</w:t>
            </w:r>
          </w:p>
        </w:tc>
        <w:tc>
          <w:tcPr>
            <w:tcW w:w="30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320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(197)</w:t>
            </w:r>
          </w:p>
        </w:tc>
      </w:tr>
      <w:tr>
        <w:trPr>
          <w:trHeight w:val="204"/>
        </w:trPr>
        <w:tc>
          <w:tcPr>
            <w:tcW w:w="54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change in unrealized loss on short-term investments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(1,838)</w:t>
            </w:r>
          </w:p>
        </w:tc>
      </w:tr>
      <w:tr>
        <w:trPr>
          <w:trHeight w:val="19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other comprehensive income (loss)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(2,035)</w:t>
            </w:r>
          </w:p>
        </w:tc>
      </w:tr>
      <w:tr>
        <w:trPr>
          <w:trHeight w:val="22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(loss) income</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118,659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81,013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49"/>
        </w:trPr>
        <w:tc>
          <w:tcPr>
            <w:tcW w:w="54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Net (loss) income per share attributable to Class A and Class B common</w:t>
            </w: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1"/>
        </w:trPr>
        <w:tc>
          <w:tcPr>
            <w:tcW w:w="5480" w:type="dxa"/>
            <w:vAlign w:val="bottom"/>
          </w:tcPr>
          <w:p>
            <w:pPr>
              <w:ind w:left="20"/>
              <w:spacing w:after="0"/>
              <w:rPr>
                <w:sz w:val="20"/>
                <w:szCs w:val="20"/>
                <w:color w:val="auto"/>
              </w:rPr>
            </w:pPr>
            <w:r>
              <w:rPr>
                <w:rFonts w:ascii="Arial" w:cs="Arial" w:eastAsia="Arial" w:hAnsi="Arial"/>
                <w:sz w:val="15"/>
                <w:szCs w:val="15"/>
                <w:color w:val="auto"/>
              </w:rPr>
              <w:t>Basic</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(0.00)</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0.23</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0.16</w:t>
            </w: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r>
      <w:tr>
        <w:trPr>
          <w:trHeight w:val="148"/>
        </w:trPr>
        <w:tc>
          <w:tcPr>
            <w:tcW w:w="5480" w:type="dxa"/>
            <w:vAlign w:val="bottom"/>
          </w:tcPr>
          <w:p>
            <w:pPr>
              <w:ind w:left="20"/>
              <w:spacing w:after="0" w:line="149" w:lineRule="exact"/>
              <w:rPr>
                <w:sz w:val="20"/>
                <w:szCs w:val="20"/>
                <w:color w:val="auto"/>
              </w:rPr>
            </w:pPr>
            <w:r>
              <w:rPr>
                <w:rFonts w:ascii="Arial" w:cs="Arial" w:eastAsia="Arial" w:hAnsi="Arial"/>
                <w:sz w:val="15"/>
                <w:szCs w:val="15"/>
                <w:b w:val="1"/>
                <w:bCs w:val="1"/>
                <w:color w:val="auto"/>
              </w:rPr>
              <w:t>Weighted-average shares used in computing net (loss) income per share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5"/>
                <w:szCs w:val="15"/>
                <w:b w:val="1"/>
                <w:bCs w:val="1"/>
                <w:color w:val="auto"/>
              </w:rPr>
              <w:t>attributable to Class A and Class B common stockholders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5"/>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461,517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515,959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481,260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516,973</w:t>
            </w:r>
          </w:p>
        </w:tc>
      </w:tr>
      <w:tr>
        <w:trPr>
          <w:trHeight w:val="200"/>
        </w:trPr>
        <w:tc>
          <w:tcPr>
            <w:tcW w:w="5480" w:type="dxa"/>
            <w:vAlign w:val="bottom"/>
          </w:tcPr>
          <w:p>
            <w:pPr>
              <w:ind w:left="20"/>
              <w:spacing w:after="0"/>
              <w:rPr>
                <w:sz w:val="20"/>
                <w:szCs w:val="20"/>
                <w:color w:val="auto"/>
              </w:rPr>
            </w:pPr>
            <w:r>
              <w:rPr>
                <w:rFonts w:ascii="Arial" w:cs="Arial" w:eastAsia="Arial" w:hAnsi="Arial"/>
                <w:sz w:val="15"/>
                <w:szCs w:val="15"/>
                <w:color w:val="auto"/>
              </w:rPr>
              <w:t>Diluted</w:t>
            </w:r>
          </w:p>
        </w:tc>
        <w:tc>
          <w:tcPr>
            <w:tcW w:w="30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461,517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524,401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481,260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525,415</w:t>
            </w: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4"/>
                <w:szCs w:val="4"/>
                <w:color w:val="auto"/>
              </w:rPr>
            </w:pPr>
          </w:p>
        </w:tc>
        <w:tc>
          <w:tcPr>
            <w:tcW w:w="112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4"/>
                <w:szCs w:val="4"/>
                <w:color w:val="auto"/>
              </w:rPr>
            </w:pPr>
          </w:p>
        </w:tc>
        <w:tc>
          <w:tcPr>
            <w:tcW w:w="860" w:type="dxa"/>
            <w:vAlign w:val="bottom"/>
            <w:vMerge w:val="restart"/>
          </w:tcPr>
          <w:p>
            <w:pPr>
              <w:jc w:val="center"/>
              <w:ind w:right="128"/>
              <w:spacing w:after="0" w:line="14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44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vMerge w:val="continue"/>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504,296</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1,883,190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(797,908)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1,085,018</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2,527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(7,101)</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28,437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28,437</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(112,316)</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Change in accumulated other comprehensive loss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0" w:type="dxa"/>
            <w:vAlign w:val="bottom"/>
          </w:tcPr>
          <w:p>
            <w:pPr>
              <w:spacing w:after="0"/>
              <w:rPr>
                <w:sz w:val="1"/>
                <w:szCs w:val="1"/>
                <w:color w:val="auto"/>
              </w:rPr>
            </w:pPr>
          </w:p>
        </w:tc>
      </w:tr>
      <w:tr>
        <w:trPr>
          <w:trHeight w:val="200"/>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2025</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480,978</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1,793,656</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(806,168)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987,260</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3,205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common stock warrants</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30,257</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tcPr>
          <w:p>
            <w:pPr>
              <w:jc w:val="right"/>
              <w:spacing w:after="0"/>
              <w:rPr>
                <w:sz w:val="20"/>
                <w:szCs w:val="20"/>
                <w:color w:val="auto"/>
              </w:rPr>
            </w:pPr>
            <w:r>
              <w:rPr>
                <w:rFonts w:ascii="Arial" w:cs="Arial" w:eastAsia="Arial" w:hAnsi="Arial"/>
                <w:sz w:val="14"/>
                <w:szCs w:val="14"/>
                <w:color w:val="auto"/>
              </w:rPr>
              <w:t>(35,243)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(164,996)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accumulated other comprehensive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2025</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449,459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1,650,305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(806,815)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843,433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188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restart"/>
          </w:tcPr>
          <w:p>
            <w:pPr>
              <w:jc w:val="center"/>
              <w:ind w:right="128"/>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
        </w:trPr>
        <w:tc>
          <w:tcPr>
            <w:tcW w:w="4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8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vMerge w:val="continue"/>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2023</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520,343</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2,067,776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(825,195)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1,243,395</w:t>
            </w:r>
          </w:p>
        </w:tc>
        <w:tc>
          <w:tcPr>
            <w:tcW w:w="0" w:type="dxa"/>
            <w:vAlign w:val="bottom"/>
          </w:tcPr>
          <w:p>
            <w:pPr>
              <w:spacing w:after="0"/>
              <w:rPr>
                <w:sz w:val="1"/>
                <w:szCs w:val="1"/>
                <w:color w:val="auto"/>
              </w:rPr>
            </w:pPr>
          </w:p>
        </w:tc>
      </w:tr>
      <w:tr>
        <w:trPr>
          <w:trHeight w:val="198"/>
        </w:trPr>
        <w:tc>
          <w:tcPr>
            <w:tcW w:w="4480" w:type="dxa"/>
            <w:vAlign w:val="bottom"/>
          </w:tcPr>
          <w:p>
            <w:pPr>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2,806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(10,917)</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rPr>
                <w:sz w:val="20"/>
                <w:szCs w:val="20"/>
                <w:color w:val="auto"/>
              </w:rPr>
            </w:pPr>
            <w:r>
              <w:rPr>
                <w:rFonts w:ascii="Arial" w:cs="Arial" w:eastAsia="Arial" w:hAnsi="Arial"/>
                <w:sz w:val="14"/>
                <w:szCs w:val="14"/>
                <w:color w:val="auto"/>
              </w:rPr>
              <w:t>Vesting of common stock warrants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33,393</w:t>
            </w:r>
          </w:p>
        </w:tc>
        <w:tc>
          <w:tcPr>
            <w:tcW w:w="0" w:type="dxa"/>
            <w:vAlign w:val="bottom"/>
          </w:tcPr>
          <w:p>
            <w:pPr>
              <w:spacing w:after="0"/>
              <w:rPr>
                <w:sz w:val="1"/>
                <w:szCs w:val="1"/>
                <w:color w:val="auto"/>
              </w:rPr>
            </w:pPr>
          </w:p>
        </w:tc>
      </w:tr>
      <w:tr>
        <w:trPr>
          <w:trHeight w:val="198"/>
        </w:trPr>
        <w:tc>
          <w:tcPr>
            <w:tcW w:w="4480" w:type="dxa"/>
            <w:vAlign w:val="bottom"/>
          </w:tcPr>
          <w:p>
            <w:pPr>
              <w:spacing w:after="0"/>
              <w:rPr>
                <w:sz w:val="20"/>
                <w:szCs w:val="20"/>
                <w:color w:val="auto"/>
              </w:rPr>
            </w:pPr>
            <w:r>
              <w:rPr>
                <w:rFonts w:ascii="Arial" w:cs="Arial" w:eastAsia="Arial" w:hAnsi="Arial"/>
                <w:sz w:val="14"/>
                <w:szCs w:val="14"/>
                <w:color w:val="auto"/>
              </w:rPr>
              <w:t>Executive chairman long-term performance award</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13,121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13,121</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(32,830)</w:t>
            </w:r>
          </w:p>
        </w:tc>
        <w:tc>
          <w:tcPr>
            <w:tcW w:w="0" w:type="dxa"/>
            <w:vAlign w:val="bottom"/>
          </w:tcPr>
          <w:p>
            <w:pPr>
              <w:spacing w:after="0"/>
              <w:rPr>
                <w:sz w:val="1"/>
                <w:szCs w:val="1"/>
                <w:color w:val="auto"/>
              </w:rPr>
            </w:pPr>
          </w:p>
        </w:tc>
      </w:tr>
      <w:tr>
        <w:trPr>
          <w:trHeight w:val="198"/>
        </w:trPr>
        <w:tc>
          <w:tcPr>
            <w:tcW w:w="4480" w:type="dxa"/>
            <w:vAlign w:val="bottom"/>
          </w:tcPr>
          <w:p>
            <w:pPr>
              <w:spacing w:after="0"/>
              <w:rPr>
                <w:sz w:val="20"/>
                <w:szCs w:val="20"/>
                <w:color w:val="auto"/>
              </w:rPr>
            </w:pPr>
            <w:r>
              <w:rPr>
                <w:rFonts w:ascii="Arial" w:cs="Arial" w:eastAsia="Arial" w:hAnsi="Arial"/>
                <w:sz w:val="14"/>
                <w:szCs w:val="14"/>
                <w:color w:val="auto"/>
              </w:rPr>
              <w:t>Change in accumulated other comprehensive income (loss)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(36,060)</w:t>
            </w:r>
          </w:p>
        </w:tc>
        <w:tc>
          <w:tcPr>
            <w:tcW w:w="0" w:type="dxa"/>
            <w:vAlign w:val="bottom"/>
          </w:tcPr>
          <w:p>
            <w:pPr>
              <w:spacing w:after="0"/>
              <w:rPr>
                <w:sz w:val="1"/>
                <w:szCs w:val="1"/>
                <w:color w:val="auto"/>
              </w:rPr>
            </w:pPr>
          </w:p>
        </w:tc>
      </w:tr>
      <w:tr>
        <w:trPr>
          <w:trHeight w:val="200"/>
        </w:trPr>
        <w:tc>
          <w:tcPr>
            <w:tcW w:w="4480" w:type="dxa"/>
            <w:vAlign w:val="bottom"/>
          </w:tcPr>
          <w:p>
            <w:pPr>
              <w:spacing w:after="0"/>
              <w:rPr>
                <w:sz w:val="20"/>
                <w:szCs w:val="20"/>
                <w:color w:val="auto"/>
              </w:rPr>
            </w:pPr>
            <w:r>
              <w:rPr>
                <w:rFonts w:ascii="Arial" w:cs="Arial" w:eastAsia="Arial" w:hAnsi="Arial"/>
                <w:sz w:val="14"/>
                <w:szCs w:val="14"/>
                <w:b w:val="1"/>
                <w:bCs w:val="1"/>
                <w:color w:val="auto"/>
              </w:rPr>
              <w:t>Balance as of March 31, 2024</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518,009</w:t>
            </w:r>
          </w:p>
        </w:tc>
        <w:tc>
          <w:tcPr>
            <w:tcW w:w="8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2,072,692</w:t>
            </w:r>
          </w:p>
        </w:tc>
        <w:tc>
          <w:tcPr>
            <w:tcW w:w="8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(861,255)</w:t>
            </w:r>
          </w:p>
        </w:tc>
        <w:tc>
          <w:tcPr>
            <w:tcW w:w="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1,210,665</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8"/>
        </w:trPr>
        <w:tc>
          <w:tcPr>
            <w:tcW w:w="4480" w:type="dxa"/>
            <w:vAlign w:val="bottom"/>
          </w:tcPr>
          <w:p>
            <w:pPr>
              <w:spacing w:after="0"/>
              <w:rPr>
                <w:sz w:val="20"/>
                <w:szCs w:val="20"/>
                <w:color w:val="auto"/>
              </w:rPr>
            </w:pPr>
            <w:r>
              <w:rPr>
                <w:rFonts w:ascii="Arial" w:cs="Arial" w:eastAsia="Arial" w:hAnsi="Arial"/>
                <w:sz w:val="14"/>
                <w:szCs w:val="14"/>
                <w:color w:val="auto"/>
              </w:rPr>
              <w:t>Issuance of common stock under employee stock purchase plan</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3,338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(9,370)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(9,370)</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38,209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38,209</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Executive chairman long-term performance award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(157,738)</w:t>
            </w:r>
          </w:p>
        </w:tc>
        <w:tc>
          <w:tcPr>
            <w:tcW w:w="0" w:type="dxa"/>
            <w:vAlign w:val="bottom"/>
          </w:tcPr>
          <w:p>
            <w:pPr>
              <w:spacing w:after="0"/>
              <w:rPr>
                <w:sz w:val="1"/>
                <w:szCs w:val="1"/>
                <w:color w:val="auto"/>
              </w:rPr>
            </w:pPr>
          </w:p>
        </w:tc>
      </w:tr>
      <w:tr>
        <w:trPr>
          <w:trHeight w:val="198"/>
        </w:trPr>
        <w:tc>
          <w:tcPr>
            <w:tcW w:w="4480" w:type="dxa"/>
            <w:vAlign w:val="bottom"/>
          </w:tcPr>
          <w:p>
            <w:pPr>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tcPr>
          <w:p>
            <w:pPr>
              <w:jc w:val="right"/>
              <w:spacing w:after="0"/>
              <w:rPr>
                <w:sz w:val="20"/>
                <w:szCs w:val="20"/>
                <w:color w:val="auto"/>
              </w:rPr>
            </w:pPr>
            <w:r>
              <w:rPr>
                <w:rFonts w:ascii="Arial" w:cs="Arial" w:eastAsia="Arial" w:hAnsi="Arial"/>
                <w:sz w:val="14"/>
                <w:szCs w:val="14"/>
                <w:color w:val="auto"/>
              </w:rPr>
              <w:t>(10,959)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(59,737)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(59,738)</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Change in accumulated other comprehensive income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98"/>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income</w:t>
            </w: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119,108</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119,108</w:t>
            </w:r>
          </w:p>
        </w:tc>
        <w:tc>
          <w:tcPr>
            <w:tcW w:w="0" w:type="dxa"/>
            <w:vAlign w:val="bottom"/>
          </w:tcPr>
          <w:p>
            <w:pPr>
              <w:spacing w:after="0"/>
              <w:rPr>
                <w:sz w:val="1"/>
                <w:szCs w:val="1"/>
                <w:color w:val="auto"/>
              </w:rPr>
            </w:pPr>
          </w:p>
        </w:tc>
      </w:tr>
      <w:tr>
        <w:trPr>
          <w:trHeight w:val="225"/>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2024</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510,748</w:t>
            </w: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1,885,744</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(742,147)</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1,142,375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8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2024</w:t>
            </w:r>
          </w:p>
        </w:tc>
      </w:tr>
      <w:tr>
        <w:trPr>
          <w:trHeight w:val="18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(8,907)</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83,048</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income to net cash provided by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11,984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7,493</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 expense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67,604</w:t>
            </w: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Executive chairman long-term performance award</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(144,617)</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Non-cash operating leases expense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w:t>
            </w: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Accretion of discount on short-term investments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(1,823)</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4"/>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Accounts receivable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(6,692)</w:t>
            </w:r>
          </w:p>
        </w:tc>
      </w:tr>
      <w:tr>
        <w:trPr>
          <w:trHeight w:val="201"/>
        </w:trPr>
        <w:tc>
          <w:tcPr>
            <w:tcW w:w="8180" w:type="dxa"/>
            <w:vAlign w:val="bottom"/>
          </w:tcPr>
          <w:p>
            <w:pPr>
              <w:ind w:left="240"/>
              <w:spacing w:after="0"/>
              <w:rPr>
                <w:sz w:val="20"/>
                <w:szCs w:val="20"/>
                <w:color w:val="auto"/>
              </w:rPr>
            </w:pPr>
            <w:r>
              <w:rPr>
                <w:rFonts w:ascii="Arial" w:cs="Arial" w:eastAsia="Arial" w:hAnsi="Arial"/>
                <w:sz w:val="15"/>
                <w:szCs w:val="15"/>
                <w:color w:val="auto"/>
              </w:rPr>
              <w:t>Settlements receivable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2,157</w:t>
            </w:r>
          </w:p>
        </w:tc>
      </w:tr>
      <w:tr>
        <w:trPr>
          <w:trHeight w:val="204"/>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Network incentives receivable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19,639</w:t>
            </w:r>
          </w:p>
        </w:tc>
      </w:tr>
      <w:tr>
        <w:trPr>
          <w:trHeight w:val="201"/>
        </w:trPr>
        <w:tc>
          <w:tcPr>
            <w:tcW w:w="8180" w:type="dxa"/>
            <w:vAlign w:val="bottom"/>
          </w:tcPr>
          <w:p>
            <w:pPr>
              <w:ind w:left="24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2,478</w:t>
            </w:r>
          </w:p>
        </w:tc>
      </w:tr>
      <w:tr>
        <w:trPr>
          <w:trHeight w:val="204"/>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Accounts payable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1,413</w:t>
            </w:r>
          </w:p>
        </w:tc>
      </w:tr>
      <w:tr>
        <w:trPr>
          <w:trHeight w:val="201"/>
        </w:trPr>
        <w:tc>
          <w:tcPr>
            <w:tcW w:w="8180" w:type="dxa"/>
            <w:vAlign w:val="bottom"/>
          </w:tcPr>
          <w:p>
            <w:pPr>
              <w:ind w:left="240"/>
              <w:spacing w:after="0"/>
              <w:rPr>
                <w:sz w:val="20"/>
                <w:szCs w:val="20"/>
                <w:color w:val="auto"/>
              </w:rPr>
            </w:pPr>
            <w:r>
              <w:rPr>
                <w:rFonts w:ascii="Arial" w:cs="Arial" w:eastAsia="Arial" w:hAnsi="Arial"/>
                <w:sz w:val="15"/>
                <w:szCs w:val="15"/>
                <w:color w:val="auto"/>
              </w:rPr>
              <w:t>Revenue share payable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6,241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2,780</w:t>
            </w:r>
          </w:p>
        </w:tc>
      </w:tr>
      <w:tr>
        <w:trPr>
          <w:trHeight w:val="204"/>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Accrued expenses and other liabilities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(6,484)</w:t>
            </w:r>
          </w:p>
        </w:tc>
      </w:tr>
      <w:tr>
        <w:trPr>
          <w:trHeight w:val="201"/>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Operating lease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(1,075)</w:t>
            </w:r>
          </w:p>
        </w:tc>
      </w:tr>
      <w:tr>
        <w:trPr>
          <w:trHeight w:val="197"/>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22,534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26,134</w:t>
            </w:r>
          </w:p>
        </w:tc>
      </w:tr>
      <w:tr>
        <w:trPr>
          <w:trHeight w:val="183"/>
        </w:trPr>
        <w:tc>
          <w:tcPr>
            <w:tcW w:w="818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and equipment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(2,193)</w:t>
            </w: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Capitalization of internal-use software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(13,598)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(10,471)</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Maturities of short-term investments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90,918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40,000</w:t>
            </w:r>
          </w:p>
        </w:tc>
      </w:tr>
      <w:tr>
        <w:trPr>
          <w:trHeight w:val="19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provided by investing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75,719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27,336</w:t>
            </w:r>
          </w:p>
        </w:tc>
      </w:tr>
      <w:tr>
        <w:trPr>
          <w:trHeight w:val="18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48"/>
        </w:trPr>
        <w:tc>
          <w:tcPr>
            <w:tcW w:w="8180" w:type="dxa"/>
            <w:vAlign w:val="bottom"/>
          </w:tcPr>
          <w:p>
            <w:pPr>
              <w:ind w:left="20"/>
              <w:spacing w:after="0" w:line="149" w:lineRule="exact"/>
              <w:rPr>
                <w:sz w:val="20"/>
                <w:szCs w:val="20"/>
                <w:color w:val="auto"/>
              </w:rPr>
            </w:pPr>
            <w:r>
              <w:rPr>
                <w:rFonts w:ascii="Arial" w:cs="Arial" w:eastAsia="Arial" w:hAnsi="Arial"/>
                <w:sz w:val="15"/>
                <w:szCs w:val="15"/>
                <w:color w:val="auto"/>
              </w:rPr>
              <w:t>Proceeds from exercise of stock options, including early exercised stock options, net of repurchase of early exercised</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unvested options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206"/>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shares issued in connection with employee stock purchase plan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1,629</w:t>
            </w: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Taxes paid related to net share settlement of restricted stock units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(15,887)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(20,287)</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common stock</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(275,233)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(91,162)</w:t>
            </w:r>
          </w:p>
        </w:tc>
      </w:tr>
      <w:tr>
        <w:trPr>
          <w:trHeight w:val="19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(288,546)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(109,712)</w:t>
            </w:r>
          </w:p>
        </w:tc>
      </w:tr>
      <w:tr>
        <w:trPr>
          <w:trHeight w:val="197"/>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(190,293)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(56,242)</w:t>
            </w:r>
          </w:p>
        </w:tc>
      </w:tr>
      <w:tr>
        <w:trPr>
          <w:trHeight w:val="201"/>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931,516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989,472</w:t>
            </w:r>
          </w:p>
        </w:tc>
      </w:tr>
      <w:tr>
        <w:trPr>
          <w:trHeight w:val="22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 End of period</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741,223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933,230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645"/>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71"/>
        </w:trPr>
        <w:tc>
          <w:tcPr>
            <w:tcW w:w="8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8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cash, cash equivalents, and restricted cash</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732,722</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924,730</w:t>
            </w:r>
          </w:p>
        </w:tc>
        <w:tc>
          <w:tcPr>
            <w:tcW w:w="0" w:type="dxa"/>
            <w:vAlign w:val="bottom"/>
          </w:tcPr>
          <w:p>
            <w:pPr>
              <w:spacing w:after="0"/>
              <w:rPr>
                <w:sz w:val="1"/>
                <w:szCs w:val="1"/>
                <w:color w:val="auto"/>
              </w:rPr>
            </w:pP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8,500</w:t>
            </w:r>
          </w:p>
        </w:tc>
        <w:tc>
          <w:tcPr>
            <w:tcW w:w="0" w:type="dxa"/>
            <w:vAlign w:val="bottom"/>
          </w:tcPr>
          <w:p>
            <w:pPr>
              <w:spacing w:after="0"/>
              <w:rPr>
                <w:sz w:val="1"/>
                <w:szCs w:val="1"/>
                <w:color w:val="auto"/>
              </w:rPr>
            </w:pPr>
          </w:p>
        </w:tc>
      </w:tr>
      <w:tr>
        <w:trPr>
          <w:trHeight w:val="201"/>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Restricted cash, included in Other assets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color w:val="auto"/>
              </w:rPr>
              <w:t>Total cash, cash equivalents, and restricted cash</w:t>
            </w:r>
          </w:p>
        </w:tc>
        <w:tc>
          <w:tcPr>
            <w:tcW w:w="340" w:type="dxa"/>
            <w:vAlign w:val="bottom"/>
            <w:tcBorders>
              <w:bottom w:val="single" w:sz="8" w:color="auto"/>
            </w:tcBorders>
            <w:shd w:val="clear" w:color="auto" w:fill="CCEEFF"/>
          </w:tcPr>
          <w:p>
            <w:pPr>
              <w:jc w:val="right"/>
              <w:ind w:right="164"/>
              <w:spacing w:after="0" w:line="170" w:lineRule="exact"/>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741,223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4"/>
              <w:spacing w:after="0" w:line="170" w:lineRule="exact"/>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933,230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Supplemental disclosures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180" w:type="dxa"/>
            <w:vAlign w:val="bottom"/>
            <w:tcBorders>
              <w:bottom w:val="single" w:sz="8" w:color="CCEEFF"/>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of property and equipment accrued and not yet paid</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tcPr>
          <w:p>
            <w:pPr>
              <w:ind w:left="20"/>
              <w:spacing w:after="0"/>
              <w:rPr>
                <w:sz w:val="20"/>
                <w:szCs w:val="20"/>
                <w:color w:val="auto"/>
              </w:rPr>
            </w:pPr>
            <w:r>
              <w:rPr>
                <w:rFonts w:ascii="Arial" w:cs="Arial" w:eastAsia="Arial" w:hAnsi="Arial"/>
                <w:sz w:val="15"/>
                <w:szCs w:val="15"/>
                <w:color w:val="auto"/>
              </w:rPr>
              <w:t>Share-based compensation capitalized to internal-use software</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80" w:type="dxa"/>
            <w:vAlign w:val="bottom"/>
            <w:tcBorders>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Repurchase of common stock, including excise tax, accrued and not yet paid</w:t>
            </w:r>
          </w:p>
        </w:tc>
        <w:tc>
          <w:tcPr>
            <w:tcW w:w="340" w:type="dxa"/>
            <w:vAlign w:val="bottom"/>
            <w:tcBorders>
              <w:bottom w:val="single" w:sz="8" w:color="auto"/>
            </w:tcBorders>
            <w:shd w:val="clear" w:color="auto" w:fill="CCEEFF"/>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2,988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tcPr>
          <w:p>
            <w:pPr>
              <w:ind w:left="20"/>
              <w:spacing w:after="0"/>
              <w:rPr>
                <w:sz w:val="20"/>
                <w:szCs w:val="20"/>
                <w:color w:val="auto"/>
              </w:rPr>
            </w:pPr>
            <w:r>
              <w:rPr>
                <w:rFonts w:ascii="Arial" w:cs="Arial" w:eastAsia="Arial" w:hAnsi="Arial"/>
                <w:sz w:val="15"/>
                <w:szCs w:val="15"/>
                <w:color w:val="auto"/>
              </w:rPr>
              <w:t>Operating lease right-of-use assets in exchange for lease liabilities</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and Basis of Presentation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Marqeta, Inc. (“the Company”) was incorporated in the state of Delaware in 2010 and creates digital payment technology for innovation leaders. The Company's modern card issuing platform empowers its customers to create customized and innovative payment card programs, giving them the configurability and flexibility to build better payment experiences.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primarily earns revenue from processing card transactions for its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 Condensed Consolidated Balance Sheet as of December 31, 2024 has been derived from the Company’s audited consolidated financial statements, which are included in the Company’s Annual Report on Form 10-K for the fiscal year ended December 31, 2024, which was filed with the SEC on February 26, 2025. The accompanying Condensed Consolidated Financial Statements should be read in conjunction with the Company’s consolidated financial statements and notes thereto included in the Annual Report on Form 10-K.</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wholly-owned subsidiaries. All intercompany balances and transactions have been eliminated in consolidation. In the opinion of management, the accompanying Condensed Consolidated Financial Statements reflect all adjustments of a normal, recurring nature considered necessary for a fair presentation of the Company's consolidated financial position, results of operations, comprehensive loss, and cash flows for the interim periods presented. The interim results for the three and six months ended June 30, 2025 are not necessarily indicative of the results that may be expected for the year ending December 31, 2025, or for any other future annual or interim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the financial statements in conformity with GAAP requires management to make various estimates and assumptions relating to reported amounts of assets and liabilities, disclosure of contingent liabilities, and reported amounts of revenue and expenses. Significant estimates and assumptions include, but are not limited to, the fair value and useful lives of assets acquired and liabilities assumed through business combinations, the estimation of contingent liabilities, the fair value of equity awards and warrants, share-based compensation, the estimation of variable consideration in contracts with customers, the cumulative network incentive rate the Company expects to earn during the annual measurement period, the reserve for contract contingencies and processing errors and valuation of income taxes. Actual results could differ materially from these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Risks and Uncertainties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net losses each quarter since its inception with the exception of the quarter ended June 30, 2024. The Company had an accumulated deficit of $806.8 million as of June 30, 2025. The Company expects to incur net losses from operations for the foreseeable future as it incurs costs and expenses related to creating new products for customers, acquiring new customers, developing its brand, expanding into new geographies and continued development of the existing platform infrastructure. The Company believes that its cash and cash equivalents of $732.7 million and short-term investments of $88.9 million as of June 30, 2025 are sufficient to fund its operations through at least the next twelve months from the issuance of these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marketing and incentive arrangements with Card Networks, that provide the Company with monetary incentives for establishing customer card programs with and routing transaction volume through the respective Card Networks. These incentives are typically calculated as a percentage of the processed transaction volume or the number of transactions routed through the Card Network. The Company accounts for these incentives as a reduction of Card Network fees within Costs of Revenue in customer arrangements where the Company acts as the principal. As processing volumes increase, the Company earns a higher cumulative incentive rate, subject to achieving specific cumulative volume thresholds within an annual measurement period. For certain incentive arrangements, the annual measurement period may not align with the Company’s fiscal year.</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second quarter of fiscal year 2025, the Company recognized network incentives in the period when cumulative transaction volume thresholds were met, due to insufficient data to reliably estimate the incentives the Card Networks would ultimately earn over the respective annual period. This approach resulted in fluctuations in Card Network fees, particularly when thresholds were reached, as higher incentive rates were applied retroactively to the entire measurement period. Historically, the Company has earned the highest incentive rates in the first quarter of its fiscal year, when annual measurement periods are nearing completion and higher cumulative transaction volume thresholds are achieved. Conversely, the second quarter generally reflected the lowest incentive rates, as the annual measurement periods and cumulative transaction volume thresholds reset to lower levels.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in the second quarter of fiscal year 2025, the Company revised its accounting policy for estimating and recognizing network incentives. The Company now estimates and recognizes network incentives based on the cumulative incentive rates it expects to earn over the annual measurement period. The Company estimates the cumulative incentive rates based on its forecasts for the annual measurement periods, which incorporate both historical experience and our expectations of future events, in addition to other qualitative considerations. The cumulative incentive rates are applied to the volume and/or number of transactions processed during the reporting period to calculate the quarterly network incentives recognized. As a result of this policy revision, the Card Network incentives recognized during the three months ended June 30, 2025 were $6.8 million higher compared to the amount that would have been recognized under the previous policy.</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Uncollected incentives are included in Network incentives receivable on the Consolidated Balance Sheets. The Company's contracts with Card Networks and Issuing Banks generally have terms ranging between three to five years, with options for renewal in one- to two-year increments upon mutual agreement.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other material changes to our significant accounting policies from our Annual Report on Form 10-K for the fiscal year ended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2023, the </w:t>
      </w:r>
      <w:r>
        <w:rPr>
          <w:rFonts w:ascii="Arial" w:cs="Arial" w:eastAsia="Arial" w:hAnsi="Arial"/>
          <w:sz w:val="18"/>
          <w:szCs w:val="18"/>
          <w:color w:val="231F20"/>
        </w:rPr>
        <w:t>Financial Accounting Standards Board (“FASB”)</w:t>
      </w:r>
      <w:r>
        <w:rPr>
          <w:rFonts w:ascii="Arial" w:cs="Arial" w:eastAsia="Arial" w:hAnsi="Arial"/>
          <w:sz w:val="18"/>
          <w:szCs w:val="18"/>
          <w:color w:val="auto"/>
        </w:rPr>
        <w:t xml:space="preserve"> issued ASU 2023-09, “Income Taxes (Topic 740): Improvements to Income Tax Disclosures”,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standard is effective for the Company’s annual period beginning January 1, 2025, with interim disclosures required for the period beginning January 1, 2026. ASU 2023-09 should be applied on a prospective basis, but retrospective application is permitted. The Company will adopt the standard prospectively and is currently evaluating the operational and financial reporting implications of this standard.</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2024, the FASB issued Accounting Standards Update No. 2024-03, “Income Statement—Reporting Comprehensive Income— Expense Disaggregation Disclosures” (“ASU 2024-03”). ASU 2024-03 is intended to improve disclosures about a public business entity's expenses and provide more detailed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to investors about the types of expenses in commonly presented expense captions. The amendments in this ASU are effective for the Company in fiscal 2027 on a retrospective basis, with early adoption permitted. The Company is currently evaluating the operational and financial reporting implications of this standard.</w:t>
      </w:r>
    </w:p>
    <w:p>
      <w:pPr>
        <w:spacing w:after="0" w:line="333"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5"/>
                <w:szCs w:val="15"/>
                <w:color w:val="auto"/>
              </w:rPr>
            </w:pPr>
          </w:p>
        </w:tc>
        <w:tc>
          <w:tcPr>
            <w:tcW w:w="2720" w:type="dxa"/>
            <w:vAlign w:val="bottom"/>
            <w:gridSpan w:val="4"/>
          </w:tcPr>
          <w:p>
            <w:pPr>
              <w:jc w:val="right"/>
              <w:ind w:right="616"/>
              <w:spacing w:after="0"/>
              <w:rPr>
                <w:sz w:val="20"/>
                <w:szCs w:val="20"/>
                <w:color w:val="auto"/>
              </w:rPr>
            </w:pPr>
            <w:r>
              <w:rPr>
                <w:rFonts w:ascii="Arial" w:cs="Arial" w:eastAsia="Arial" w:hAnsi="Arial"/>
                <w:sz w:val="13"/>
                <w:szCs w:val="13"/>
                <w:b w:val="1"/>
                <w:bCs w:val="1"/>
                <w:color w:val="auto"/>
              </w:rPr>
              <w:t>Six Months Ended June 30,</w:t>
            </w:r>
          </w:p>
        </w:tc>
      </w:tr>
      <w:tr>
        <w:trPr>
          <w:trHeight w:val="183"/>
        </w:trPr>
        <w:tc>
          <w:tcPr>
            <w:tcW w:w="49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2024</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services revenue,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233,205</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 revenue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14,461</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10,032</w:t>
            </w:r>
          </w:p>
        </w:tc>
      </w:tr>
      <w:tr>
        <w:trPr>
          <w:trHeight w:val="248"/>
        </w:trPr>
        <w:tc>
          <w:tcPr>
            <w:tcW w:w="4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289,465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deferred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Contract balance</w:t>
            </w:r>
          </w:p>
        </w:tc>
        <w:tc>
          <w:tcPr>
            <w:tcW w:w="470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Balance sheet line reference</w:t>
            </w: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9"/>
        </w:trPr>
        <w:tc>
          <w:tcPr>
            <w:tcW w:w="3440" w:type="dxa"/>
            <w:vAlign w:val="bottom"/>
            <w:gridSpan w:val="2"/>
            <w:vMerge w:val="continue"/>
          </w:tcPr>
          <w:p>
            <w:pPr>
              <w:spacing w:after="0"/>
              <w:rPr>
                <w:sz w:val="10"/>
                <w:szCs w:val="10"/>
                <w:color w:val="auto"/>
              </w:rPr>
            </w:pPr>
          </w:p>
        </w:tc>
        <w:tc>
          <w:tcPr>
            <w:tcW w:w="47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69"/>
        </w:trPr>
        <w:tc>
          <w:tcPr>
            <w:tcW w:w="3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100" w:type="dxa"/>
            <w:vAlign w:val="bottom"/>
            <w:shd w:val="clear" w:color="auto" w:fill="CCEEFF"/>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assets - non-current</w:t>
            </w:r>
          </w:p>
        </w:tc>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contract assets</w:t>
            </w:r>
          </w:p>
        </w:tc>
        <w:tc>
          <w:tcPr>
            <w:tcW w:w="4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Deferred revenue - current</w:t>
            </w:r>
          </w:p>
        </w:tc>
        <w:tc>
          <w:tcPr>
            <w:tcW w:w="4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gridSpan w:val="2"/>
            <w:vMerge w:val="continue"/>
          </w:tcPr>
          <w:p>
            <w:pPr>
              <w:spacing w:after="0"/>
              <w:rPr>
                <w:sz w:val="17"/>
                <w:szCs w:val="17"/>
                <w:color w:val="auto"/>
              </w:rPr>
            </w:pPr>
          </w:p>
        </w:tc>
        <w:tc>
          <w:tcPr>
            <w:tcW w:w="47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7,632</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 non-current</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23"/>
        </w:trPr>
        <w:tc>
          <w:tcPr>
            <w:tcW w:w="3440" w:type="dxa"/>
            <w:vAlign w:val="bottom"/>
            <w:gridSpan w:val="2"/>
          </w:tcPr>
          <w:p>
            <w:pPr>
              <w:ind w:left="460"/>
              <w:spacing w:after="0"/>
              <w:rPr>
                <w:sz w:val="20"/>
                <w:szCs w:val="20"/>
                <w:color w:val="auto"/>
              </w:rPr>
            </w:pPr>
            <w:r>
              <w:rPr>
                <w:rFonts w:ascii="Arial" w:cs="Arial" w:eastAsia="Arial" w:hAnsi="Arial"/>
                <w:sz w:val="18"/>
                <w:szCs w:val="18"/>
                <w:color w:val="auto"/>
              </w:rPr>
              <w:t>Total deferred revenue</w:t>
            </w:r>
          </w:p>
        </w:tc>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18,372</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revenue recognized during the three months ended June 30, 2025 and 2024 that was included in the deferred revenue balances at the beginning of the respective periods was $4.5 million and $4.3 million, respectively. Net revenue recognized during the six months ended June 30, 2025 and 2024 that was included in the deferred revenue balances at the beginning of the respective periods was $8.5 million and $6.0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performance obligations associated with commitments in customer contracts for future stand-ready obligations to process transactions throughout the contractual term. As of June 30, 2025, the aggregate transaction price allocated to our remaining performance obligations was $45.6 million. The Company expects to recognize approximately 63% within two years and the remaining 37% over the next three to five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840" w:firstLine="8"/>
        <w:spacing w:after="0" w:line="375" w:lineRule="auto"/>
        <w:tabs>
          <w:tab w:leader="none" w:pos="35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i w:val="1"/>
          <w:iCs w:val="1"/>
          <w:color w:val="auto"/>
        </w:rPr>
        <w:t>TransactPay</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23, 2024, the Company entered into an agreement with Neptune International Ltd, an exempted company limited by shares incorporated under the laws of Bermuda, to purchase Transact Payments Limited (collectively, with its affiliates, “TransactPay”). On July 31, 2025, the transaction was completed in accordance with the terms in the merger agreement, and the Company paid €46.0 million in cash. The agreement also includes up to €5.0 million of contingent consideration that could be paid post-closing. TransactPay provides BIN Sponsorship, E-Money Licensing, and Virtual Account services in the UK and Europe. As of the closing date, the purchase price allocation (PPA) has not yet been finalized. The Company expects the PPA to include identifiable intangible assets, such as Electronic Money Institution licenses and customer relationships, with the residual amount allocated to goodwill.</w:t>
      </w:r>
    </w:p>
    <w:p>
      <w:pPr>
        <w:spacing w:after="0" w:line="34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Intangible assets resulting from the Company’s business combinations as of the dates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2024</w:t>
            </w: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rPr>
              <w:t>41,000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8"/>
              </w:rPr>
              <w:t>41,000</w:t>
            </w: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left="397"/>
              <w:spacing w:after="0"/>
              <w:rPr>
                <w:sz w:val="20"/>
                <w:szCs w:val="20"/>
                <w:color w:val="auto"/>
              </w:rPr>
            </w:pPr>
            <w:r>
              <w:rPr>
                <w:rFonts w:ascii="Arial" w:cs="Arial" w:eastAsia="Arial" w:hAnsi="Arial"/>
                <w:sz w:val="18"/>
                <w:szCs w:val="18"/>
                <w:color w:val="auto"/>
              </w:rPr>
              <w:t>(14,155)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98"/>
              </w:rPr>
              <w:t>(11,226)</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437"/>
              <w:spacing w:after="0"/>
              <w:rPr>
                <w:sz w:val="20"/>
                <w:szCs w:val="20"/>
                <w:color w:val="auto"/>
              </w:rPr>
            </w:pPr>
            <w:r>
              <w:rPr>
                <w:rFonts w:ascii="Arial" w:cs="Arial" w:eastAsia="Arial" w:hAnsi="Arial"/>
                <w:sz w:val="18"/>
                <w:szCs w:val="18"/>
                <w:color w:val="auto"/>
              </w:rPr>
              <w:t>26,845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98"/>
              </w:rPr>
              <w:t>29,774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amortization period for developed technology intangible assets is 7 years. Amortization expense for intangible assets was $1.5 million for both the three months ended June 30, 2025 and 2024, and $2.9 million for both the six months ended June 30, 2025 and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amortization expense for intangible assets was as follows as of June 30,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2025</w:t>
            </w: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5,857</w:t>
            </w:r>
          </w:p>
        </w:tc>
      </w:t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2028</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5,857</w:t>
            </w:r>
          </w:p>
        </w:tc>
      </w:t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r>
      <w:tr>
        <w:trPr>
          <w:trHeight w:val="223"/>
        </w:trPr>
        <w:tc>
          <w:tcPr>
            <w:tcW w:w="9740" w:type="dxa"/>
            <w:vAlign w:val="bottom"/>
          </w:tcPr>
          <w:p>
            <w:pPr>
              <w:ind w:left="240"/>
              <w:spacing w:after="0"/>
              <w:rPr>
                <w:sz w:val="20"/>
                <w:szCs w:val="20"/>
                <w:color w:val="auto"/>
              </w:rPr>
            </w:pPr>
            <w:r>
              <w:rPr>
                <w:rFonts w:ascii="Arial" w:cs="Arial" w:eastAsia="Arial" w:hAnsi="Arial"/>
                <w:sz w:val="18"/>
                <w:szCs w:val="18"/>
                <w:color w:val="auto"/>
              </w:rPr>
              <w:t>Total expected future amortization expense for intangible assets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26,845</w:t>
            </w:r>
          </w:p>
        </w:tc>
      </w:tr>
      <w:tr>
        <w:trPr>
          <w:trHeight w:val="20"/>
        </w:trPr>
        <w:tc>
          <w:tcPr>
            <w:tcW w:w="9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Company's short-term investments are classified as available-for-sale securities and recorded at fair value within Current assets in the Condensed Consolidated Balance Sheets. These investments may be sold at anytime to support operational needs, even prior to maturity.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 and estimated fair value of the Company's short-term investments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June 30, 2025</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Unrealized (Loss)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49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79,813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79,993</w:t>
            </w:r>
          </w:p>
        </w:tc>
      </w:tr>
      <w:tr>
        <w:trPr>
          <w:trHeight w:val="229"/>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88,865</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December 31, 2024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Unrealized (Loss)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168,504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168,900</w:t>
            </w:r>
          </w:p>
        </w:tc>
      </w:tr>
      <w:tr>
        <w:trPr>
          <w:trHeight w:val="229"/>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178,948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179,409</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did not have any short-term investments in unrealized loss positions as of June 30, 2025 and December 31, 2024. Generally, the Company does not intend to sell short-term investments that have unrealized losses, nor anticipates that it is more likely than not that it will be required to sell such securities before any anticipated recovery of the entire amortized cost basis.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realized gains or losses from short-term investments that were reclassified out of accumulated other comprehensive loss for both the three and six months ended June 30, 2025 and 2024. The Company determined there were no material credit or non-credit related impairments as of June 30,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stated maturities of the Company’s short-term investments: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June 30, 2025</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December 31, 2024</w:t>
            </w:r>
          </w:p>
        </w:tc>
        <w:tc>
          <w:tcPr>
            <w:tcW w:w="800" w:type="dxa"/>
            <w:vAlign w:val="bottom"/>
            <w:tcBorders>
              <w:bottom w:val="single" w:sz="8" w:color="auto"/>
            </w:tcBorders>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Fair Value</w:t>
            </w: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113,015</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66,394</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179,409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 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 Fair Value</w:t>
            </w: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152,434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152,434</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258,624</w:t>
            </w: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12,101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12,101</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24,184</w:t>
            </w: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53,525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53,525</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79,993</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491,051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98,682</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589,733</w:t>
            </w:r>
          </w:p>
        </w:tc>
      </w:tr>
      <w:tr>
        <w:trPr>
          <w:trHeight w:val="21"/>
        </w:trPr>
        <w:tc>
          <w:tcPr>
            <w:tcW w:w="5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 Fair Value</w:t>
            </w:r>
          </w:p>
        </w:tc>
      </w:tr>
      <w:tr>
        <w:trPr>
          <w:trHeight w:val="211"/>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458,195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458,195</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214,189</w:t>
            </w: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8,028</w:t>
            </w:r>
          </w:p>
        </w:tc>
      </w:tr>
      <w:tr>
        <w:trPr>
          <w:trHeight w:val="229"/>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53,238</w:t>
            </w: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25,779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25,779</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168,900</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841,284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97,554</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938,838</w:t>
            </w:r>
          </w:p>
        </w:tc>
      </w:tr>
      <w:tr>
        <w:trPr>
          <w:trHeight w:val="21"/>
        </w:trPr>
        <w:tc>
          <w:tcPr>
            <w:tcW w:w="5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classifies money market funds, U.S. treasury bills, commercial paper, certificates of deposit, U.S. treasury securities, asset-backed securities, and corporate debt securities within Level 1 or Level 2 of the fair value hierarchy because the Company values these investments using quoted market prices or alternative pricing sources and models utilizing market observable inputs.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transfers of financial instruments between the fair value hierarchy levels during the three and six months ended June 30, 2025, or the year ended December 31, 2024.</w:t>
      </w:r>
    </w:p>
    <w:p>
      <w:pPr>
        <w:spacing w:after="0" w:line="31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Certain Balance Sheet Components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0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r>
      <w:tr>
        <w:trPr>
          <w:trHeight w:val="270"/>
        </w:trPr>
        <w:tc>
          <w:tcPr>
            <w:tcW w:w="81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9,415</w:t>
            </w:r>
          </w:p>
        </w:tc>
      </w:tr>
      <w:tr>
        <w:trPr>
          <w:trHeight w:val="27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r>
      <w:tr>
        <w:trPr>
          <w:trHeight w:val="27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Internally developed and purchased software</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67,029</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47,300</w:t>
            </w:r>
          </w:p>
        </w:tc>
      </w:tr>
      <w:tr>
        <w:trPr>
          <w:trHeight w:val="223"/>
        </w:trPr>
        <w:tc>
          <w:tcPr>
            <w:tcW w:w="8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67,350</w:t>
            </w:r>
          </w:p>
        </w:tc>
      </w:tr>
      <w:tr>
        <w:trPr>
          <w:trHeight w:val="27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(38,737)</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(29,827)</w:t>
            </w:r>
          </w:p>
        </w:tc>
      </w:tr>
      <w:tr>
        <w:trPr>
          <w:trHeight w:val="248"/>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and amortization expense related to property and equipment was $5.2 million and $2.5 million for the three months ended June 30, 2025 and 2024, respectively and $9.1 million and $4.6 million for the six months ended June 30, 2025 and 2024, respectively.</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capitalized $10.9 million and $7.2 million as internal-use software development costs during the three months ended June 30, 2025, and 2024, respectively, and $19.6 million and $14.6 million during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5"/>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costs of 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Due to Issuing Banks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 liabilities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Reserve for contract contingencies and processing errors</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158,216</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2016, the Company entered into a lease agreement for its principal executive office located in Oakland, California (the “Oakland lease”), for 19,000 square feet of office space, which was subsequently amended resulting in a total of 63,000 square feet of office space being leased.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2025, the Company amended its Oakland lease, extending the term for certain floors by 24 months. The lease modification was not accounted for as a separate contract, and the extension has been accounted for as an operating lease. Accordingly, the Company recorded an increase to the Operating lease right-of-use assets, net and Operating lease liabilities, net of current portion in the Condensed Consolidated Balance Sheets of approximately $3.5 million, which represents the present value of the lease payments for the 24-month extension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lease costs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7"/>
                <w:szCs w:val="17"/>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r>
      <w:tr>
        <w:trPr>
          <w:trHeight w:val="20"/>
        </w:trPr>
        <w:tc>
          <w:tcPr>
            <w:tcW w:w="4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weighted average remaining operating lease term and the weighted average discount rate used in the calculation of the Company's lease assets and lease liabilities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2025</w:t>
            </w: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operating lease term (in years)</w:t>
            </w:r>
          </w:p>
        </w:tc>
        <w:tc>
          <w:tcPr>
            <w:tcW w:w="30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rPr>
              <w:t>1.1</w:t>
            </w:r>
          </w:p>
        </w:tc>
      </w:tr>
      <w:tr>
        <w:trPr>
          <w:trHeight w:val="239"/>
        </w:trPr>
        <w:tc>
          <w:tcPr>
            <w:tcW w:w="51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500" w:type="dxa"/>
            <w:vAlign w:val="bottom"/>
            <w:gridSpan w:val="2"/>
          </w:tcPr>
          <w:p>
            <w:pPr>
              <w:jc w:val="right"/>
              <w:ind w:right="459"/>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80" w:type="dxa"/>
            <w:vAlign w:val="bottom"/>
          </w:tcPr>
          <w:p>
            <w:pPr>
              <w:jc w:val="right"/>
              <w:ind w:right="456"/>
              <w:spacing w:after="0"/>
              <w:rPr>
                <w:sz w:val="20"/>
                <w:szCs w:val="20"/>
                <w:color w:val="auto"/>
              </w:rPr>
            </w:pPr>
            <w:r>
              <w:rPr>
                <w:rFonts w:ascii="Arial" w:cs="Arial" w:eastAsia="Arial" w:hAnsi="Arial"/>
                <w:sz w:val="18"/>
                <w:szCs w:val="18"/>
                <w:color w:val="auto"/>
              </w:rPr>
              <w:t>7.6%</w:t>
            </w:r>
          </w:p>
        </w:tc>
      </w:tr>
      <w:tr>
        <w:trPr>
          <w:trHeight w:val="899"/>
        </w:trPr>
        <w:tc>
          <w:tcPr>
            <w:tcW w:w="5160" w:type="dxa"/>
            <w:vAlign w:val="bottom"/>
          </w:tcPr>
          <w:p>
            <w:pPr>
              <w:spacing w:after="0"/>
              <w:rPr>
                <w:sz w:val="24"/>
                <w:szCs w:val="24"/>
                <w:color w:val="auto"/>
              </w:rPr>
            </w:pPr>
          </w:p>
        </w:tc>
        <w:tc>
          <w:tcPr>
            <w:tcW w:w="3020" w:type="dxa"/>
            <w:vAlign w:val="bottom"/>
          </w:tcPr>
          <w:p>
            <w:pPr>
              <w:jc w:val="right"/>
              <w:ind w:right="2370"/>
              <w:spacing w:after="0"/>
              <w:rPr>
                <w:sz w:val="20"/>
                <w:szCs w:val="20"/>
                <w:color w:val="auto"/>
              </w:rPr>
            </w:pPr>
            <w:r>
              <w:rPr>
                <w:rFonts w:ascii="Arial" w:cs="Arial" w:eastAsia="Arial" w:hAnsi="Arial"/>
                <w:sz w:val="18"/>
                <w:szCs w:val="18"/>
                <w:color w:val="auto"/>
              </w:rPr>
              <w:t>17</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1"/>
        </w:trPr>
        <w:tc>
          <w:tcPr>
            <w:tcW w:w="516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by year are as follows as of June 30,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Operating Leases</w:t>
            </w:r>
          </w:p>
        </w:tc>
      </w:tr>
      <w:tr>
        <w:trPr>
          <w:trHeight w:val="22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(remaining)</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2,403</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r>
      <w:tr>
        <w:trPr>
          <w:trHeight w:val="229"/>
        </w:trPr>
        <w:tc>
          <w:tcPr>
            <w:tcW w:w="9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48"/>
        </w:trPr>
        <w:tc>
          <w:tcPr>
            <w:tcW w:w="9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7920" w:firstLine="8"/>
        <w:spacing w:after="0" w:line="375" w:lineRule="auto"/>
        <w:tabs>
          <w:tab w:leader="none" w:pos="45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Letter of Credit and Restricted Cash</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Oakland lease, the Company is required to provide the landlord a $1.5 million letter of credit. The Company has secured this letter of credit by depositing $1.5 million with the issuing financial institution. In April 2025, the lease was amended, which extended the lease for a reduced amount of office space by two years. As part of the extension, the letter of credit will be reduced to $0.9 million effective on March 1, 2026, with an expiration date of February 2028. As of June 30, 2025, $0.9 million of restricted cash is recorded in Other assets on the Condensed Consolidated Balance Sheet to reflect the extended obligation, while the remaining $0.6 million, expiring in February 2026, remains in current assets as Restricted cash.</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Restricted cash in the Condensed Consolidated Balance Sheets includes a $7.0 million deposit held at an Issuing Bank, which serves as collateral to ensure settlement of customer transactions with the Card Networks, in the event that customer funds are not deposited in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June 30, 2025 and December 31, 2024, there were no legal contingency matters, either individually or in aggregate, that would have a material adverse effect on the Company’s financial position, results of operations, or cash flows. Given the unpredictable nature of legal proceedings, the Company bases its assessment on the information available at the time the financials are available to be issued. As additional information becomes available, the Company reassesses the probability of the loss contingency and the potential liability, and may revise the estimate.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December 9, 2024, a putative securities class action lawsuit, captioned </w:t>
      </w:r>
      <w:r>
        <w:rPr>
          <w:rFonts w:ascii="Arial" w:cs="Arial" w:eastAsia="Arial" w:hAnsi="Arial"/>
          <w:sz w:val="18"/>
          <w:szCs w:val="18"/>
          <w:i w:val="1"/>
          <w:iCs w:val="1"/>
          <w:color w:val="auto"/>
        </w:rPr>
        <w:t>Wai v. Marqeta, Inc., et al.</w:t>
      </w:r>
      <w:r>
        <w:rPr>
          <w:rFonts w:ascii="Arial" w:cs="Arial" w:eastAsia="Arial" w:hAnsi="Arial"/>
          <w:sz w:val="18"/>
          <w:szCs w:val="18"/>
          <w:color w:val="auto"/>
        </w:rPr>
        <w:t>, Case No. 24-cv-08874 (N.D. Cal.), was filed in federal court in the Northern District of California (“Court”) against the Company, its former Chief Executive Officer, and its Chief Financial Officer (“Defendants”) alleging violations of federal securities laws. The lawsuit asserts that Defendants made false or misleading statements relating to the Company’s performance or revenue and gross profit expectations in violation of Sections 10(b) and 20(a) of the Securities Exchange Act of 1934 and Rule 10b-5 promulgated thereunder.</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10, 2024, a second putative securities class action lawsuit, captioned </w:t>
      </w:r>
      <w:r>
        <w:rPr>
          <w:rFonts w:ascii="Arial" w:cs="Arial" w:eastAsia="Arial" w:hAnsi="Arial"/>
          <w:sz w:val="18"/>
          <w:szCs w:val="18"/>
          <w:i w:val="1"/>
          <w:iCs w:val="1"/>
          <w:color w:val="auto"/>
        </w:rPr>
        <w:t>Ford v. Marqeta, Inc.</w:t>
      </w:r>
      <w:r>
        <w:rPr>
          <w:rFonts w:ascii="Arial" w:cs="Arial" w:eastAsia="Arial" w:hAnsi="Arial"/>
          <w:sz w:val="18"/>
          <w:szCs w:val="18"/>
          <w:color w:val="auto"/>
        </w:rPr>
        <w:t xml:space="preserve">, et al., Case No. 24-cv-08892 (N.D. Cal.), was filed in the same Court against the same Defendants alleging violations of the same federal securities laws. The second lawsuit asserts similar theories of liability as the first lawsuit. Both lawsuits (collectively, the “Securities Actions”) seek to recover damages on behalf of shareholders who acquired shares of the Company’s common stock during their respective putative class periods. The Securities Actions have been consolidated into one consolidated securities litigation captioned </w:t>
      </w:r>
      <w:r>
        <w:rPr>
          <w:rFonts w:ascii="Arial" w:cs="Arial" w:eastAsia="Arial" w:hAnsi="Arial"/>
          <w:sz w:val="18"/>
          <w:szCs w:val="18"/>
          <w:i w:val="1"/>
          <w:iCs w:val="1"/>
          <w:color w:val="auto"/>
        </w:rPr>
        <w:t>In re Marqeta, Inc. Securities Litigation</w:t>
      </w:r>
      <w:r>
        <w:rPr>
          <w:rFonts w:ascii="Arial" w:cs="Arial" w:eastAsia="Arial" w:hAnsi="Arial"/>
          <w:sz w:val="18"/>
          <w:szCs w:val="18"/>
          <w:color w:val="auto"/>
        </w:rPr>
        <w:t>, Case No. 24-08874-YGR (N.D. Cal) and the Court has appointed a lead plaintiff and lead plaintiff’s counsel in the matter. On April 10, 2025, the lead plaintiff filed a consolidated amended complaint, which alleges a putative class period of between February 28, 2024 and November 4, 2024. The Company and the other Defendants filed a motion to dismiss the consolidated amended complaint on May 15,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Given the inherent uncertainty of litigation, the Company cannot reasonably estimate the likelihood of an unfavorable outcome or the amount or range of any potential loss.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Payment Transactions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Condensed Consolidated Balance Sheets. If a customer does not have sufficient funds to settle a transaction, the Company is liable to the Issuing Bank to settle the transaction and would therefore incur losses if such amounts cannot be subsequently recovered from the customer. The Company did not incur losses of this nature during the three and six months ended June 30, 2025 and 2024,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customers, Card Networks, Issuing Banks, vendors, lessors, and other parties with respect to certain matters, including, but not limited to, losses or expenses arising out of the breach of such agreements, services to be provided by the Company or from intellectual property infringement claims made by third parties. With respect to Issuing Banks, the Company has received requests for indemnification from time to time and may indemnify an Issuing Bank for losses such Issuing Bank may incur for non-compliance with applicable laws and regulations, if those losses resulted from the Company’s failure to perform under its program agreement. No significant claims have been incurred during the three and six months ended June 30, 2025 and 2024.</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As of June 30, 2025 and December 31, 2024, no demands have been made upon the Company to provide indemnification under such agreements, and the Company is not aware of any claims that could have a material effect on its Condensed Consolidated Financial Statements.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these customers to receive credits in the event the Company fails to meet the levels outlined in their respective agreements. No material credits were issued during the three and six months ended June 30, 2025 and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following table presents the share-based compensation expense by award type recognized within the following line items in the Condensed Consolidated Statement of Operations and Comprehensive Loss and Condensed Consolidated Balance Sheet in the periods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378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7"/>
                <w:szCs w:val="17"/>
                <w:color w:val="auto"/>
              </w:rPr>
            </w:pPr>
          </w:p>
        </w:tc>
        <w:tc>
          <w:tcPr>
            <w:tcW w:w="308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52,819</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12,585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56"/>
        </w:trPr>
        <w:tc>
          <w:tcPr>
            <w:tcW w:w="3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Share-based compensation recorded within</w:t>
            </w:r>
          </w:p>
        </w:tc>
        <w:tc>
          <w:tcPr>
            <w:tcW w:w="1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36,291</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52,985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67,604</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14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Executive chairman long-term performance</w:t>
            </w:r>
          </w:p>
        </w:tc>
        <w:tc>
          <w:tcPr>
            <w:tcW w:w="114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(157,738)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(144,617)</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award</w:t>
            </w:r>
          </w:p>
        </w:tc>
        <w:tc>
          <w:tcPr>
            <w:tcW w:w="114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Property and equipment (capitalized internal-use</w:t>
            </w:r>
          </w:p>
        </w:tc>
        <w:tc>
          <w:tcPr>
            <w:tcW w:w="1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Total share-based compensation expense</w:t>
            </w:r>
          </w:p>
        </w:tc>
        <w:tc>
          <w:tcPr>
            <w:tcW w:w="1140" w:type="dxa"/>
            <w:vAlign w:val="bottom"/>
            <w:vMerge w:val="restart"/>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30,257</w:t>
            </w:r>
          </w:p>
        </w:tc>
        <w:tc>
          <w:tcPr>
            <w:tcW w:w="100" w:type="dxa"/>
            <w:vAlign w:val="bottom"/>
          </w:tcPr>
          <w:p>
            <w:pPr>
              <w:spacing w:after="0"/>
              <w:rPr>
                <w:sz w:val="13"/>
                <w:szCs w:val="13"/>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(119,529)</w:t>
            </w:r>
          </w:p>
        </w:tc>
        <w:tc>
          <w:tcPr>
            <w:tcW w:w="120" w:type="dxa"/>
            <w:vAlign w:val="bottom"/>
          </w:tcPr>
          <w:p>
            <w:pPr>
              <w:spacing w:after="0"/>
              <w:rPr>
                <w:sz w:val="13"/>
                <w:szCs w:val="13"/>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58,694</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(73,015)</w:t>
            </w:r>
          </w:p>
        </w:tc>
        <w:tc>
          <w:tcPr>
            <w:tcW w:w="0" w:type="dxa"/>
            <w:vAlign w:val="bottom"/>
          </w:tcPr>
          <w:p>
            <w:pPr>
              <w:spacing w:after="0"/>
              <w:rPr>
                <w:sz w:val="1"/>
                <w:szCs w:val="1"/>
                <w:color w:val="auto"/>
              </w:rPr>
            </w:pPr>
          </w:p>
        </w:tc>
      </w:tr>
      <w:tr>
        <w:trPr>
          <w:trHeight w:val="221"/>
        </w:trPr>
        <w:tc>
          <w:tcPr>
            <w:tcW w:w="3940" w:type="dxa"/>
            <w:vAlign w:val="bottom"/>
          </w:tcPr>
          <w:p>
            <w:pPr>
              <w:ind w:left="20"/>
              <w:spacing w:after="0"/>
              <w:rPr>
                <w:sz w:val="20"/>
                <w:szCs w:val="20"/>
                <w:color w:val="auto"/>
              </w:rPr>
            </w:pPr>
            <w:r>
              <w:rPr>
                <w:rFonts w:ascii="Arial" w:cs="Arial" w:eastAsia="Arial" w:hAnsi="Arial"/>
                <w:sz w:val="18"/>
                <w:szCs w:val="18"/>
                <w:color w:val="auto"/>
              </w:rPr>
              <w:t>(benefit)</w:t>
            </w:r>
          </w:p>
        </w:tc>
        <w:tc>
          <w:tcPr>
            <w:tcW w:w="1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Performance Share Units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summary of the Company's restricted stock units (RSUs) and performance-based restricted stock units (PSUs) activity under the Plans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 grant</w:t>
            </w:r>
          </w:p>
        </w:tc>
        <w:tc>
          <w:tcPr>
            <w:tcW w:w="0" w:type="dxa"/>
            <w:vAlign w:val="bottom"/>
          </w:tcPr>
          <w:p>
            <w:pPr>
              <w:spacing w:after="0"/>
              <w:rPr>
                <w:sz w:val="1"/>
                <w:szCs w:val="1"/>
                <w:color w:val="auto"/>
              </w:rPr>
            </w:pPr>
          </w:p>
        </w:tc>
      </w:tr>
      <w:tr>
        <w:trPr>
          <w:trHeight w:val="185"/>
        </w:trPr>
        <w:tc>
          <w:tcPr>
            <w:tcW w:w="74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date fair value per share</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spacing w:after="0"/>
              <w:rPr>
                <w:sz w:val="20"/>
                <w:szCs w:val="20"/>
                <w:color w:val="auto"/>
              </w:rPr>
            </w:pPr>
            <w:r>
              <w:rPr>
                <w:rFonts w:ascii="Arial" w:cs="Arial" w:eastAsia="Arial" w:hAnsi="Arial"/>
                <w:sz w:val="18"/>
                <w:szCs w:val="18"/>
                <w:color w:val="auto"/>
              </w:rPr>
              <w:t>19,947</w:t>
            </w:r>
          </w:p>
        </w:tc>
        <w:tc>
          <w:tcPr>
            <w:tcW w:w="86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86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860" w:type="dxa"/>
            <w:vAlign w:val="bottom"/>
            <w:tcBorders>
              <w:bottom w:val="single" w:sz="8" w:color="CCEEFF"/>
            </w:tcBorders>
            <w:gridSpan w:val="2"/>
          </w:tcPr>
          <w:p>
            <w:pPr>
              <w:jc w:val="right"/>
              <w:ind w:right="56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2025</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860" w:type="dxa"/>
            <w:vAlign w:val="bottom"/>
            <w:tcBorders>
              <w:bottom w:val="single" w:sz="8" w:color="CCEEFF"/>
            </w:tcBorders>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2025, unrecognized compensation expense related to unvested RSUs and PSUs was $168.6 million. These costs are expected to be recognized over a weighted-average period of 2.0 years.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under the Plans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 Average</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Exercise Price per</w:t>
            </w:r>
          </w:p>
        </w:tc>
        <w:tc>
          <w:tcPr>
            <w:tcW w:w="17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 Contractual</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 (Years)</w:t>
            </w:r>
          </w:p>
        </w:tc>
        <w:tc>
          <w:tcPr>
            <w:tcW w:w="260" w:type="dxa"/>
            <w:vAlign w:val="bottom"/>
          </w:tcPr>
          <w:p>
            <w:pPr>
              <w:spacing w:after="0"/>
              <w:rPr>
                <w:sz w:val="16"/>
                <w:szCs w:val="16"/>
                <w:color w:val="auto"/>
              </w:rPr>
            </w:pPr>
          </w:p>
        </w:tc>
        <w:tc>
          <w:tcPr>
            <w:tcW w:w="1120" w:type="dxa"/>
            <w:vAlign w:val="bottom"/>
          </w:tcPr>
          <w:p>
            <w:pPr>
              <w:jc w:val="right"/>
              <w:ind w:right="354"/>
              <w:spacing w:after="0" w:line="189"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Exercisable as of June 30, 2025 </w:t>
            </w:r>
            <w:r>
              <w:rPr>
                <w:rFonts w:ascii="Arial" w:cs="Arial" w:eastAsia="Arial" w:hAnsi="Arial"/>
                <w:sz w:val="23"/>
                <w:szCs w:val="23"/>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8"/>
                <w:szCs w:val="18"/>
                <w:color w:val="auto"/>
              </w:rPr>
              <w:t>8,337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13,289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June 30, 2025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85" w:lineRule="auto"/>
        <w:tabs>
          <w:tab w:leader="none" w:pos="22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Intrinsic value is calculated based on the difference between the exercise price of in-the-money-stock options and the fair value of the common stock as of the respective balance sheet dates.</w:t>
      </w:r>
    </w:p>
    <w:p>
      <w:pPr>
        <w:spacing w:after="0" w:line="63"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2011 Plan allows for early exercise of stock options. Accordingly, options granted under this plan are included as exercisable stock options regardless of vesting status.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June 30, 2025, aggregate unrecognized compensation expense related to unvested outstanding stock options was $4.7 million. These costs are expected to be recognized over a weighted-average period of 1.2 years.</w:t>
      </w:r>
    </w:p>
    <w:p>
      <w:pPr>
        <w:spacing w:after="0" w:line="3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6, 2024, the Company’s Board of Directors authorized a share repurchase program of up to $200 million of the Company’s Class A common stock (the “2024 Share Repurchase Program”). Under the 2024 Share Repurchase Program, the Company was authorized to repurchase shares through open market purchases, in privately negotiated transactions or by other methods, in accordance with applicable federal securities laws, including through trading plans under Rule 10b5-1 of the Exchange Act. Repurchase decisions, including timing and volume of repurchases, are based on general business and market conditions, and other factors, including legal requirements. The 2024 Share Repurchase Program had no set expiration date and was fully completed by March 31, 2025.</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25, 2025, the Company’s Board of Directors authorized an additional share repurchase program for up to $300 million of the Company’s Class A common stock (the “2025 Share Repurchase Program”). Under the 2025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Repurchase decisions are based on general business and market conditions, and other factors, including legal requirements. The 2025 Share Repurchase Program has no set expiration date.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six months ended June 30, 2025, the Company repurchased approximately 19.2 million shares under the 2024 Share Repurchase Program for a total cost of $80.5 million, at an average price of $4.20 per share. The aggregate cost of the shares repurchased and the related transaction costs and excise taxes of $1.1 million during the six months ended June 30, 2025 are reflected as a reduction to common stock and Additional paid-in capital on the Company’s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six months ended June 30, 2025, the Company repurchased approximately 35.2 million and 42.3 million shares under the 2025 Share Repurchase Program for $162.9 million and $193.1 million, at an average price of $ 4.64 and $4.58 per share, respectively. The aggregate cost of the shares repurchased and the related transaction costs and excise taxes of $2.1 million and $2.6 million during the three and six months ended June 30, 2025, respectively, are reflected as a reduction to Common stock and Additional paid-in capital on the Company’s Condensed Consolidated Balance Sheets. As of June 30, 2025, $106.9 million remained available for future share repurchases under the 2025 Share Repurchase Program.</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and six months ended June 30, 2024, the Company repurchased approximately 11.0 million shares in the open market under the 2024 Share Repurchase Program for $ 59.1 million at an average price of $5.39 per share. The aggregate cost of the shares repurchased and the related transaction costs and excise taxes of $0.6 million are reflected as a reduction to Common stock and Additional paid-in capital on the Company’s Condensed Consolidated Balance Sheets.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during the six months ended June 30, 2024, the Company repurchased 5.2 million shares under the 2023 Share Repurchase Program authorized in May 2023 (the “2023 Share Repurchase Program”) for $ 32.8 million, at an average price of $6.27 per share. Repurchases under the 2023 Share Repurchase Program were completed by March 31, 2024.</w:t>
      </w:r>
    </w:p>
    <w:p>
      <w:pPr>
        <w:spacing w:after="0" w:line="33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 Attributable to Common Stockholders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income per share is computed by dividing the net (loss) income by the weighted-average number of shares of common stock outstanding during the period. Diluted net (loss) income per share is computed by dividing net (loss) income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were anti-dilutive.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The Company calculated basic and diluted net (loss) income per share attributable to common stockholders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A</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Class B</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A</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B</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Class A</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Class B</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Class A</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82"/>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Numerator</w:t>
            </w: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8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Net (loss) income attributable to</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109,105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(8,291)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75,207</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7,841</w:t>
            </w: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stockholders, basic</w:t>
            </w:r>
          </w:p>
        </w:tc>
        <w:tc>
          <w:tcPr>
            <w:tcW w:w="2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80" w:type="dxa"/>
            <w:vAlign w:val="bottom"/>
          </w:tcPr>
          <w:p>
            <w:pPr>
              <w:ind w:left="20"/>
              <w:spacing w:after="0" w:line="153" w:lineRule="exact"/>
              <w:rPr>
                <w:sz w:val="20"/>
                <w:szCs w:val="20"/>
                <w:color w:val="auto"/>
              </w:rPr>
            </w:pPr>
            <w:r>
              <w:rPr>
                <w:rFonts w:ascii="Arial" w:cs="Arial" w:eastAsia="Arial" w:hAnsi="Arial"/>
                <w:sz w:val="14"/>
                <w:szCs w:val="14"/>
                <w:color w:val="auto"/>
              </w:rPr>
              <w:t>Net (loss) income attributable to</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108,544</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10,564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(8,291)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3"/>
                <w:szCs w:val="13"/>
                <w:color w:val="auto"/>
              </w:rPr>
            </w:pP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74,830</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8,218</w:t>
            </w:r>
          </w:p>
        </w:tc>
        <w:tc>
          <w:tcPr>
            <w:tcW w:w="0" w:type="dxa"/>
            <w:vAlign w:val="bottom"/>
          </w:tcPr>
          <w:p>
            <w:pPr>
              <w:spacing w:after="0"/>
              <w:rPr>
                <w:sz w:val="1"/>
                <w:szCs w:val="1"/>
                <w:color w:val="auto"/>
              </w:rPr>
            </w:pPr>
          </w:p>
        </w:tc>
      </w:tr>
      <w:tr>
        <w:trPr>
          <w:trHeight w:val="185"/>
        </w:trPr>
        <w:tc>
          <w:tcPr>
            <w:tcW w:w="2580" w:type="dxa"/>
            <w:vAlign w:val="bottom"/>
          </w:tcPr>
          <w:p>
            <w:pPr>
              <w:ind w:left="20"/>
              <w:spacing w:after="0"/>
              <w:rPr>
                <w:sz w:val="20"/>
                <w:szCs w:val="20"/>
                <w:color w:val="auto"/>
              </w:rPr>
            </w:pPr>
            <w:r>
              <w:rPr>
                <w:rFonts w:ascii="Arial" w:cs="Arial" w:eastAsia="Arial" w:hAnsi="Arial"/>
                <w:sz w:val="14"/>
                <w:szCs w:val="14"/>
                <w:color w:val="auto"/>
              </w:rPr>
              <w:t>common stockholders, diluted</w:t>
            </w:r>
          </w:p>
        </w:tc>
        <w:tc>
          <w:tcPr>
            <w:tcW w:w="2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580" w:type="dxa"/>
            <w:vAlign w:val="bottom"/>
          </w:tcPr>
          <w:p>
            <w:pPr>
              <w:ind w:left="20"/>
              <w:spacing w:after="0" w:line="153" w:lineRule="exact"/>
              <w:rPr>
                <w:sz w:val="20"/>
                <w:szCs w:val="20"/>
                <w:color w:val="auto"/>
              </w:rPr>
            </w:pPr>
            <w:r>
              <w:rPr>
                <w:rFonts w:ascii="Arial" w:cs="Arial" w:eastAsia="Arial" w:hAnsi="Arial"/>
                <w:sz w:val="14"/>
                <w:szCs w:val="14"/>
                <w:color w:val="auto"/>
              </w:rPr>
              <w:t>Weighted-average shares used in</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line="145" w:lineRule="exact"/>
              <w:rPr>
                <w:sz w:val="20"/>
                <w:szCs w:val="20"/>
                <w:color w:val="auto"/>
              </w:rPr>
            </w:pPr>
            <w:r>
              <w:rPr>
                <w:rFonts w:ascii="Arial" w:cs="Arial" w:eastAsia="Arial" w:hAnsi="Arial"/>
                <w:sz w:val="14"/>
                <w:szCs w:val="14"/>
                <w:color w:val="auto"/>
              </w:rPr>
              <w:t>computing basic net (loss) income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80" w:type="dxa"/>
            <w:vAlign w:val="bottom"/>
          </w:tcPr>
          <w:p>
            <w:pPr>
              <w:ind w:left="20"/>
              <w:spacing w:after="0" w:line="139" w:lineRule="exact"/>
              <w:rPr>
                <w:sz w:val="20"/>
                <w:szCs w:val="20"/>
                <w:color w:val="auto"/>
              </w:rPr>
            </w:pPr>
            <w:r>
              <w:rPr>
                <w:rFonts w:ascii="Arial" w:cs="Arial" w:eastAsia="Arial" w:hAnsi="Arial"/>
                <w:sz w:val="14"/>
                <w:szCs w:val="14"/>
                <w:color w:val="auto"/>
              </w:rPr>
              <w:t>share attributable to common</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428,224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33,293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472,628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43,331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447,966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33,294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468,161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48,812</w:t>
            </w:r>
          </w:p>
        </w:tc>
        <w:tc>
          <w:tcPr>
            <w:tcW w:w="0" w:type="dxa"/>
            <w:vAlign w:val="bottom"/>
          </w:tcPr>
          <w:p>
            <w:pPr>
              <w:spacing w:after="0"/>
              <w:rPr>
                <w:sz w:val="1"/>
                <w:szCs w:val="1"/>
                <w:color w:val="auto"/>
              </w:rPr>
            </w:pPr>
          </w:p>
        </w:tc>
      </w:tr>
      <w:tr>
        <w:trPr>
          <w:trHeight w:val="194"/>
        </w:trPr>
        <w:tc>
          <w:tcPr>
            <w:tcW w:w="258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8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Effect of dilutive potential shares of</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5,263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5,263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80" w:type="dxa"/>
            <w:vAlign w:val="bottom"/>
          </w:tcPr>
          <w:p>
            <w:pPr>
              <w:ind w:left="20"/>
              <w:spacing w:after="0" w:line="133" w:lineRule="exact"/>
              <w:rPr>
                <w:sz w:val="20"/>
                <w:szCs w:val="20"/>
                <w:color w:val="auto"/>
              </w:rPr>
            </w:pPr>
            <w:r>
              <w:rPr>
                <w:rFonts w:ascii="Arial" w:cs="Arial" w:eastAsia="Arial" w:hAnsi="Arial"/>
                <w:sz w:val="14"/>
                <w:szCs w:val="14"/>
                <w:color w:val="auto"/>
              </w:rPr>
              <w:t>Weighted-average shares used in</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line="145" w:lineRule="exact"/>
              <w:rPr>
                <w:sz w:val="20"/>
                <w:szCs w:val="20"/>
                <w:color w:val="auto"/>
              </w:rPr>
            </w:pPr>
            <w:r>
              <w:rPr>
                <w:rFonts w:ascii="Arial" w:cs="Arial" w:eastAsia="Arial" w:hAnsi="Arial"/>
                <w:sz w:val="14"/>
                <w:szCs w:val="14"/>
                <w:color w:val="auto"/>
              </w:rPr>
              <w:t>computing diluted net (loss) income per</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80" w:type="dxa"/>
            <w:vAlign w:val="bottom"/>
          </w:tcPr>
          <w:p>
            <w:pPr>
              <w:ind w:left="20"/>
              <w:spacing w:after="0" w:line="139" w:lineRule="exact"/>
              <w:rPr>
                <w:sz w:val="20"/>
                <w:szCs w:val="20"/>
                <w:color w:val="auto"/>
              </w:rPr>
            </w:pPr>
            <w:r>
              <w:rPr>
                <w:rFonts w:ascii="Arial" w:cs="Arial" w:eastAsia="Arial" w:hAnsi="Arial"/>
                <w:sz w:val="14"/>
                <w:szCs w:val="14"/>
                <w:color w:val="auto"/>
              </w:rPr>
              <w:t>share attributable to common</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428,224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33,293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477,891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46,510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447,966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33,294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473,424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51,991</w:t>
            </w:r>
          </w:p>
        </w:tc>
        <w:tc>
          <w:tcPr>
            <w:tcW w:w="0" w:type="dxa"/>
            <w:vAlign w:val="bottom"/>
          </w:tcPr>
          <w:p>
            <w:pPr>
              <w:spacing w:after="0"/>
              <w:rPr>
                <w:sz w:val="1"/>
                <w:szCs w:val="1"/>
                <w:color w:val="auto"/>
              </w:rPr>
            </w:pPr>
          </w:p>
        </w:tc>
      </w:tr>
      <w:tr>
        <w:trPr>
          <w:trHeight w:val="194"/>
        </w:trPr>
        <w:tc>
          <w:tcPr>
            <w:tcW w:w="258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580" w:type="dxa"/>
            <w:vAlign w:val="bottom"/>
          </w:tcPr>
          <w:p>
            <w:pPr>
              <w:ind w:left="180"/>
              <w:spacing w:after="0" w:line="153" w:lineRule="exact"/>
              <w:rPr>
                <w:sz w:val="20"/>
                <w:szCs w:val="20"/>
                <w:color w:val="auto"/>
              </w:rPr>
            </w:pPr>
            <w:r>
              <w:rPr>
                <w:rFonts w:ascii="Arial" w:cs="Arial" w:eastAsia="Arial" w:hAnsi="Arial"/>
                <w:sz w:val="14"/>
                <w:szCs w:val="14"/>
                <w:color w:val="auto"/>
              </w:rPr>
              <w:t>Net (loss) income per share</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180"/>
              <w:spacing w:after="0" w:line="145" w:lineRule="exact"/>
              <w:rPr>
                <w:sz w:val="20"/>
                <w:szCs w:val="20"/>
                <w:color w:val="auto"/>
              </w:rPr>
            </w:pPr>
            <w:r>
              <w:rPr>
                <w:rFonts w:ascii="Arial" w:cs="Arial" w:eastAsia="Arial" w:hAnsi="Arial"/>
                <w:sz w:val="14"/>
                <w:szCs w:val="14"/>
                <w:color w:val="auto"/>
              </w:rPr>
              <w:t>attributable to common stockholders,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0.16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basic</w:t>
            </w:r>
          </w:p>
        </w:tc>
        <w:tc>
          <w:tcPr>
            <w:tcW w:w="2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80" w:type="dxa"/>
            <w:vAlign w:val="bottom"/>
            <w:shd w:val="clear" w:color="auto" w:fill="CCEEFF"/>
          </w:tcPr>
          <w:p>
            <w:pPr>
              <w:ind w:left="180"/>
              <w:spacing w:after="0" w:line="153" w:lineRule="exact"/>
              <w:rPr>
                <w:sz w:val="20"/>
                <w:szCs w:val="20"/>
                <w:color w:val="auto"/>
              </w:rPr>
            </w:pPr>
            <w:r>
              <w:rPr>
                <w:rFonts w:ascii="Arial" w:cs="Arial" w:eastAsia="Arial" w:hAnsi="Arial"/>
                <w:sz w:val="14"/>
                <w:szCs w:val="14"/>
                <w:color w:val="auto"/>
              </w:rPr>
              <w:t>Net (loss) income per share</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attributable to common stockholders,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the liquidation and dividend rights are identical for Class A common stock and Class B common stock, the undistributed earnings are allocated on a proportionate basis and the resulting income or loss per share will, therefore, be the same for both Class A common stock and Class B common stock on an individual or combined basis.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during the three and six months ended June 30, 2025 because including them would have had an anti-dilutive effect as the Company was in a loss position during the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6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Class A</w:t>
            </w:r>
          </w:p>
        </w:tc>
        <w:tc>
          <w:tcPr>
            <w:tcW w:w="8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Class B</w:t>
            </w:r>
          </w:p>
        </w:tc>
        <w:tc>
          <w:tcPr>
            <w:tcW w:w="100" w:type="dxa"/>
            <w:vAlign w:val="bottom"/>
            <w:tcBorders>
              <w:bottom w:val="single" w:sz="8" w:color="CCEEFF"/>
            </w:tcBorders>
          </w:tcPr>
          <w:p>
            <w:pPr>
              <w:spacing w:after="0"/>
              <w:rPr>
                <w:sz w:val="17"/>
                <w:szCs w:val="17"/>
                <w:color w:val="auto"/>
              </w:rPr>
            </w:pPr>
          </w:p>
        </w:tc>
      </w:tr>
      <w:tr>
        <w:trPr>
          <w:trHeight w:val="25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Class B common stock</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22"/>
                <w:szCs w:val="22"/>
                <w:color w:val="auto"/>
              </w:rPr>
            </w:pPr>
          </w:p>
        </w:tc>
      </w:tr>
      <w:tr>
        <w:trPr>
          <w:trHeight w:val="27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 restricted stock, and employee stock purchase plan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41,658</w:t>
            </w:r>
          </w:p>
        </w:tc>
        <w:tc>
          <w:tcPr>
            <w:tcW w:w="8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Borders>
              <w:bottom w:val="single" w:sz="8" w:color="CCEEFF"/>
            </w:tcBorders>
          </w:tcPr>
          <w:p>
            <w:pPr>
              <w:spacing w:after="0"/>
              <w:rPr>
                <w:sz w:val="23"/>
                <w:szCs w:val="23"/>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41,658</w:t>
            </w:r>
          </w:p>
        </w:tc>
        <w:tc>
          <w:tcPr>
            <w:tcW w:w="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Potentially dilutive securities that were excluded from the computation of diluted net income per share because including them would have had an anti-dilutive effect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40" w:type="dxa"/>
            <w:vAlign w:val="bottom"/>
          </w:tcPr>
          <w:p>
            <w:pPr>
              <w:spacing w:after="0"/>
              <w:rPr>
                <w:sz w:val="15"/>
                <w:szCs w:val="15"/>
                <w:color w:val="auto"/>
              </w:rPr>
            </w:pPr>
          </w:p>
        </w:tc>
        <w:tc>
          <w:tcPr>
            <w:tcW w:w="304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rPr>
              <w:t>Three Months Ended June 30, 2024</w:t>
            </w:r>
          </w:p>
        </w:tc>
        <w:tc>
          <w:tcPr>
            <w:tcW w:w="100" w:type="dxa"/>
            <w:vAlign w:val="bottom"/>
          </w:tcPr>
          <w:p>
            <w:pPr>
              <w:spacing w:after="0"/>
              <w:rPr>
                <w:sz w:val="15"/>
                <w:szCs w:val="15"/>
                <w:color w:val="auto"/>
              </w:rPr>
            </w:pPr>
          </w:p>
        </w:tc>
        <w:tc>
          <w:tcPr>
            <w:tcW w:w="306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Six Months Ended June 30, 2024</w:t>
            </w:r>
          </w:p>
        </w:tc>
      </w:tr>
      <w:tr>
        <w:trPr>
          <w:trHeight w:val="183"/>
        </w:trPr>
        <w:tc>
          <w:tcPr>
            <w:tcW w:w="5040" w:type="dxa"/>
            <w:vAlign w:val="bottom"/>
          </w:tcPr>
          <w:p>
            <w:pPr>
              <w:spacing w:after="0"/>
              <w:rPr>
                <w:sz w:val="15"/>
                <w:szCs w:val="15"/>
                <w:color w:val="auto"/>
              </w:rPr>
            </w:pPr>
          </w:p>
        </w:tc>
        <w:tc>
          <w:tcPr>
            <w:tcW w:w="1560" w:type="dxa"/>
            <w:vAlign w:val="bottom"/>
            <w:gridSpan w:val="2"/>
          </w:tcPr>
          <w:p>
            <w:pPr>
              <w:ind w:left="500"/>
              <w:spacing w:after="0"/>
              <w:rPr>
                <w:sz w:val="20"/>
                <w:szCs w:val="20"/>
                <w:color w:val="auto"/>
              </w:rPr>
            </w:pPr>
            <w:r>
              <w:rPr>
                <w:rFonts w:ascii="Arial" w:cs="Arial" w:eastAsia="Arial" w:hAnsi="Arial"/>
                <w:sz w:val="13"/>
                <w:szCs w:val="13"/>
                <w:b w:val="1"/>
                <w:bCs w:val="1"/>
                <w:color w:val="auto"/>
              </w:rPr>
              <w:t>Class A</w:t>
            </w:r>
          </w:p>
        </w:tc>
        <w:tc>
          <w:tcPr>
            <w:tcW w:w="1580" w:type="dxa"/>
            <w:vAlign w:val="bottom"/>
            <w:gridSpan w:val="2"/>
          </w:tcPr>
          <w:p>
            <w:pPr>
              <w:ind w:left="500"/>
              <w:spacing w:after="0"/>
              <w:rPr>
                <w:sz w:val="20"/>
                <w:szCs w:val="20"/>
                <w:color w:val="auto"/>
              </w:rPr>
            </w:pPr>
            <w:r>
              <w:rPr>
                <w:rFonts w:ascii="Arial" w:cs="Arial" w:eastAsia="Arial" w:hAnsi="Arial"/>
                <w:sz w:val="13"/>
                <w:szCs w:val="13"/>
                <w:b w:val="1"/>
                <w:bCs w:val="1"/>
                <w:color w:val="auto"/>
              </w:rPr>
              <w:t>Class B</w:t>
            </w:r>
          </w:p>
        </w:tc>
        <w:tc>
          <w:tcPr>
            <w:tcW w:w="1580" w:type="dxa"/>
            <w:vAlign w:val="bottom"/>
            <w:gridSpan w:val="2"/>
          </w:tcPr>
          <w:p>
            <w:pPr>
              <w:ind w:left="500"/>
              <w:spacing w:after="0"/>
              <w:rPr>
                <w:sz w:val="20"/>
                <w:szCs w:val="20"/>
                <w:color w:val="auto"/>
              </w:rPr>
            </w:pPr>
            <w:r>
              <w:rPr>
                <w:rFonts w:ascii="Arial" w:cs="Arial" w:eastAsia="Arial" w:hAnsi="Arial"/>
                <w:sz w:val="13"/>
                <w:szCs w:val="13"/>
                <w:b w:val="1"/>
                <w:bCs w:val="1"/>
                <w:color w:val="auto"/>
              </w:rPr>
              <w:t>Class A</w:t>
            </w:r>
          </w:p>
        </w:tc>
        <w:tc>
          <w:tcPr>
            <w:tcW w:w="1480" w:type="dxa"/>
            <w:vAlign w:val="bottom"/>
          </w:tcPr>
          <w:p>
            <w:pPr>
              <w:jc w:val="right"/>
              <w:ind w:right="422"/>
              <w:spacing w:after="0"/>
              <w:rPr>
                <w:sz w:val="20"/>
                <w:szCs w:val="20"/>
                <w:color w:val="auto"/>
              </w:rPr>
            </w:pPr>
            <w:r>
              <w:rPr>
                <w:rFonts w:ascii="Arial" w:cs="Arial" w:eastAsia="Arial" w:hAnsi="Arial"/>
                <w:sz w:val="13"/>
                <w:szCs w:val="13"/>
                <w:b w:val="1"/>
                <w:bCs w:val="1"/>
                <w:color w:val="auto"/>
              </w:rPr>
              <w:t>Class B</w:t>
            </w:r>
          </w:p>
        </w:tc>
      </w:tr>
      <w:tr>
        <w:trPr>
          <w:trHeight w:val="207"/>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and employee stock purchase</w:t>
            </w: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6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35,229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21,468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45,152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24,835</w:t>
            </w:r>
          </w:p>
        </w:tc>
      </w:tr>
      <w:tr>
        <w:trPr>
          <w:trHeight w:val="908"/>
        </w:trPr>
        <w:tc>
          <w:tcPr>
            <w:tcW w:w="5040" w:type="dxa"/>
            <w:vAlign w:val="bottom"/>
          </w:tcPr>
          <w:p>
            <w:pPr>
              <w:spacing w:after="0"/>
              <w:rPr>
                <w:sz w:val="24"/>
                <w:szCs w:val="24"/>
                <w:color w:val="auto"/>
              </w:rPr>
            </w:pPr>
          </w:p>
        </w:tc>
        <w:tc>
          <w:tcPr>
            <w:tcW w:w="1480" w:type="dxa"/>
            <w:vAlign w:val="bottom"/>
          </w:tcPr>
          <w:p>
            <w:pPr>
              <w:ind w:left="4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1"/>
        </w:trPr>
        <w:tc>
          <w:tcPr>
            <w:tcW w:w="50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recorded an income tax expense of $0.2 million and $0.2 million for the three months ended June 30, 2025 and 2024, respectively, and $ 0.4 million and $0.3 million for the six months ended June 30, 2025 and 2024, respectively. Income tax expense for both respective periods was primarily attributable to income tax expense in profitable foreign jurisdictions.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2025, Congress passed and the President signed into law H.R. 1, the One Big Beautiful Bill Act (the "Tax Act"), which addresses certain business tax provisions enacted as a part of the 2017 Tax Cuts and Jobs Act including restoration of 100% bonus depreciation under Section 168(k) and Section 174 expensing for US-based research. Accounting Standards Codification Topic 740, Income Taxes, (“Topic 740”) requires the tax impacts to be included in the reporting period that includes the date the Tax Act was signed into law. As the Tax Act was enacted in the third quarter of fiscal year 2025, the Company is currently evaluating the impact of the tax law changes on its financial position and results of operations.</w:t>
      </w:r>
    </w:p>
    <w:p>
      <w:pPr>
        <w:spacing w:after="0" w:line="3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Risks and Significant Customers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short-term investments, and accounts receivable. Cash and cash equivalents held with financial institutions may exceed federally insured limits, posing potential credit risk.</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2025 and December 31, 2024, short-term investments were $88.9 million and $179.4 million, respectively, and there was no concentration of securities of the same issuer with an aggregate fair value greater than 5% of the total balance, except for U.S. treasury securities, which amounted to $80.0 million, or 90%, at June 30, 2025 and $168.9 million, or 94%, at December 31, 2024, respectively.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significant portion of the Company's payment transactions are settled through one Issuing Bank, Sutton Bank. For the three months ended June 30, 2025 and 2024, 65% and 72%, respectively, of Total Processing Volume, which is the total dollar amount of payments processed through the Company’s platform, net of returns and chargebacks, was settled through Sutton Bank. For the six months ended June 30, 2025 and 2024, 66% and 73%, respectively, of Total Processing Volume was settled through Sutton Bank.</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derives a significant portion of its revenue from one customer. This customer accounted for 46% and 47% net revenue for the three months ended June 30, 2025 and 2024, respectively, and 45% and 48% for the six months ended June 30, 2025 and 2024, respectively. As of June 30, 2025, two separate customers accounted for 19% and 12% of the Company’s accounts receivable balance. As of December 31, 2024, two separate customers accounted for 13% and 10% of the Company’s accounts receivable balance.</w:t>
      </w:r>
    </w:p>
    <w:p>
      <w:pPr>
        <w:spacing w:after="0" w:line="28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chief operating decision maker (“CODM”) is its Interim Chief Executive Officer and Chief Financial Officer, who regularly reviews financial information presented on a consolidated basis for purposes of allocating resources and evaluating financial performance. The Company provides a single, global, cloud-based, open API platform for modern card issuing and transaction processing, and primarily earns revenue from processing card transactions for its customers. As such, the Company operates as a single operating segment and reporting unit.</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CODM assesses performance and decides how to allocate resources based on consolidated net income or loss as the measure of profit and loss and consolidated total assets. The measure of segment assets is reported on the balance sheet as total assets. The CODM uses net income or loss in the annual budgeting process and subsequent monitoring of budget versus actual results as well as in assessing the return on consolidated total assets.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information used by the CODM in assessing segment performance: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600" w:type="dxa"/>
            <w:vAlign w:val="bottom"/>
            <w:gridSpan w:val="6"/>
          </w:tcPr>
          <w:p>
            <w:pPr>
              <w:ind w:left="7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8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r>
      <w:tr>
        <w:trPr>
          <w:trHeight w:val="211"/>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4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243,237</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46,331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79,725</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104,061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163,512</w:t>
            </w:r>
          </w:p>
        </w:tc>
      </w:tr>
      <w:tr>
        <w:trPr>
          <w:trHeight w:val="195"/>
        </w:trPr>
        <w:tc>
          <w:tcPr>
            <w:tcW w:w="4580" w:type="dxa"/>
            <w:vAlign w:val="bottom"/>
          </w:tcPr>
          <w:p>
            <w:pPr>
              <w:ind w:left="20"/>
              <w:spacing w:after="0"/>
              <w:rPr>
                <w:sz w:val="20"/>
                <w:szCs w:val="20"/>
                <w:color w:val="auto"/>
              </w:rPr>
            </w:pPr>
            <w:r>
              <w:rPr>
                <w:rFonts w:ascii="Arial" w:cs="Arial" w:eastAsia="Arial" w:hAnsi="Arial"/>
                <w:sz w:val="16"/>
                <w:szCs w:val="16"/>
                <w:color w:val="auto"/>
              </w:rPr>
              <w:t>Significant expenses:</w:t>
            </w: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compensation and benefits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130,552</w:t>
            </w:r>
          </w:p>
        </w:tc>
      </w:tr>
      <w:tr>
        <w:trPr>
          <w:trHeight w:val="215"/>
        </w:trPr>
        <w:tc>
          <w:tcPr>
            <w:tcW w:w="4580" w:type="dxa"/>
            <w:vAlign w:val="bottom"/>
          </w:tcPr>
          <w:p>
            <w:pPr>
              <w:ind w:left="140"/>
              <w:spacing w:after="0"/>
              <w:rPr>
                <w:sz w:val="20"/>
                <w:szCs w:val="20"/>
                <w:color w:val="auto"/>
              </w:rPr>
            </w:pPr>
            <w:r>
              <w:rPr>
                <w:rFonts w:ascii="Arial" w:cs="Arial" w:eastAsia="Arial" w:hAnsi="Arial"/>
                <w:sz w:val="16"/>
                <w:szCs w:val="16"/>
                <w:color w:val="auto"/>
              </w:rPr>
              <w:t>Share based compensation</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27,070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36,291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67,604</w:t>
            </w:r>
          </w:p>
        </w:tc>
      </w:tr>
      <w:tr>
        <w:trPr>
          <w:trHeight w:val="217"/>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27,887</w:t>
            </w:r>
          </w:p>
        </w:tc>
      </w:tr>
      <w:tr>
        <w:trPr>
          <w:trHeight w:val="215"/>
        </w:trPr>
        <w:tc>
          <w:tcPr>
            <w:tcW w:w="4580" w:type="dxa"/>
            <w:vAlign w:val="bottom"/>
          </w:tcPr>
          <w:p>
            <w:pPr>
              <w:ind w:left="140"/>
              <w:spacing w:after="0"/>
              <w:rPr>
                <w:sz w:val="20"/>
                <w:szCs w:val="20"/>
                <w:color w:val="auto"/>
              </w:rPr>
            </w:pPr>
            <w:r>
              <w:rPr>
                <w:rFonts w:ascii="Arial" w:cs="Arial" w:eastAsia="Arial" w:hAnsi="Arial"/>
                <w:sz w:val="16"/>
                <w:szCs w:val="16"/>
                <w:color w:val="auto"/>
              </w:rPr>
              <w:t>Professional services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8,678</w:t>
            </w:r>
          </w:p>
        </w:tc>
      </w:tr>
      <w:tr>
        <w:trPr>
          <w:trHeight w:val="217"/>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Occupancy</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r>
      <w:tr>
        <w:trPr>
          <w:trHeight w:val="215"/>
        </w:trPr>
        <w:tc>
          <w:tcPr>
            <w:tcW w:w="45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7,493</w:t>
            </w:r>
          </w:p>
        </w:tc>
      </w:tr>
      <w:tr>
        <w:trPr>
          <w:trHeight w:val="217"/>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Marketing and advertising</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r>
      <w:tr>
        <w:trPr>
          <w:trHeight w:val="215"/>
        </w:trPr>
        <w:tc>
          <w:tcPr>
            <w:tcW w:w="4580" w:type="dxa"/>
            <w:vAlign w:val="bottom"/>
          </w:tcPr>
          <w:p>
            <w:pPr>
              <w:ind w:left="140"/>
              <w:spacing w:after="0"/>
              <w:rPr>
                <w:sz w:val="20"/>
                <w:szCs w:val="20"/>
                <w:color w:val="auto"/>
              </w:rPr>
            </w:pPr>
            <w:r>
              <w:rPr>
                <w:rFonts w:ascii="Arial" w:cs="Arial" w:eastAsia="Arial" w:hAnsi="Arial"/>
                <w:sz w:val="16"/>
                <w:szCs w:val="16"/>
                <w:color w:val="auto"/>
              </w:rPr>
              <w:t>Other operating expenses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7,322</w:t>
            </w:r>
          </w:p>
        </w:tc>
      </w:tr>
      <w:tr>
        <w:trPr>
          <w:trHeight w:val="217"/>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Executive Chairman Long-Term Performance Award</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(144,617)</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(Loss) income from operations</w:t>
            </w:r>
          </w:p>
        </w:tc>
        <w:tc>
          <w:tcPr>
            <w:tcW w:w="10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(9,228)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105,042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(27,766)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55,189</w:t>
            </w:r>
          </w:p>
        </w:tc>
      </w:tr>
      <w:tr>
        <w:trPr>
          <w:trHeight w:val="217"/>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28,503</w:t>
            </w:r>
          </w:p>
        </w:tc>
      </w:tr>
      <w:tr>
        <w:trPr>
          <w:trHeight w:val="215"/>
        </w:trPr>
        <w:tc>
          <w:tcPr>
            <w:tcW w:w="4580" w:type="dxa"/>
            <w:vAlign w:val="bottom"/>
          </w:tcPr>
          <w:p>
            <w:pPr>
              <w:ind w:left="140"/>
              <w:spacing w:after="0"/>
              <w:rPr>
                <w:sz w:val="20"/>
                <w:szCs w:val="20"/>
                <w:color w:val="auto"/>
              </w:rPr>
            </w:pPr>
            <w:r>
              <w:rPr>
                <w:rFonts w:ascii="Arial" w:cs="Arial" w:eastAsia="Arial" w:hAnsi="Arial"/>
                <w:sz w:val="16"/>
                <w:szCs w:val="16"/>
                <w:color w:val="auto"/>
              </w:rPr>
              <w:t>Other income (expense)</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16"/>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10"/>
        </w:trPr>
        <w:tc>
          <w:tcPr>
            <w:tcW w:w="4580" w:type="dxa"/>
            <w:vAlign w:val="bottom"/>
          </w:tcPr>
          <w:p>
            <w:pPr>
              <w:ind w:left="20"/>
              <w:spacing w:after="0" w:line="210" w:lineRule="exact"/>
              <w:rPr>
                <w:sz w:val="20"/>
                <w:szCs w:val="20"/>
                <w:color w:val="auto"/>
              </w:rPr>
            </w:pPr>
            <w:r>
              <w:rPr>
                <w:rFonts w:ascii="Arial" w:cs="Arial" w:eastAsia="Arial" w:hAnsi="Arial"/>
                <w:sz w:val="16"/>
                <w:szCs w:val="16"/>
                <w:color w:val="auto"/>
              </w:rPr>
              <w:t>Segment and consolidated net (loss) income</w:t>
            </w:r>
            <w:r>
              <w:rPr>
                <w:rFonts w:ascii="Arial" w:cs="Arial" w:eastAsia="Arial" w:hAnsi="Arial"/>
                <w:sz w:val="21"/>
                <w:szCs w:val="21"/>
                <w:color w:val="auto"/>
                <w:vertAlign w:val="superscript"/>
              </w:rPr>
              <w:t>1</w:t>
            </w:r>
          </w:p>
        </w:tc>
        <w:tc>
          <w:tcPr>
            <w:tcW w:w="104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119,108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83,048</w:t>
            </w:r>
          </w:p>
        </w:tc>
      </w:tr>
      <w:tr>
        <w:trPr>
          <w:trHeight w:val="21"/>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firstLine="8"/>
        <w:spacing w:after="0" w:line="222" w:lineRule="auto"/>
        <w:tabs>
          <w:tab w:leader="none" w:pos="104"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 The Company operates as a single reportable segment that is managed on a consolidated basis, therefore the Company’s segment net (loss) income is the same as the Company’s consolidated net (loss) income.</w:t>
      </w:r>
    </w:p>
    <w:p>
      <w:pPr>
        <w:spacing w:after="0" w:line="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Net revenue outside of the United States, based on the billing address of the customer, was 13% and 10%, for the three months ended June 30, 2025 and 2024, respectively, and was 12% and 9%, for the six months ended June 30, 2025 and 2024, respectively.</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June 30, 2025 and December 31, 2024, long-lived assets located outside of the United States were not material and not used by the CODM in assessing and evaluating financial performance and allocating resources.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in our 2024 Annual Report. 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or incorporated by reference under the section titled “Risk Factors” in this Quarterly Report on Form 10-Q and in our 2024 Annual Report.</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Overview</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Marqeta’s mission is modernizing financial services by making the entire payment experience native and delightful. Marqeta’s modern platform empowers our customers to create customized and innovative payment card programs with configurability and flexibility. Marqeta’s open APIs provide instant access to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 We also deliver robust card program management, allowing our customers to embed Marqeta in their offering without having to build certain complex compliance elements or customer support services.</w:t>
      </w:r>
    </w:p>
    <w:p>
      <w:pPr>
        <w:spacing w:after="0" w:line="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Marqeta’s innovative products are developed with deep domain expertise and a customer-first mindset to launch, scale, and manage card programs. Marqeta provides all of its customers with issuer processor services, and for most of its customers it also acts as a card program manager. Depending on a customer’s desired level of control and responsibility, Marqeta can work with companies in a range of different configurations, but generally provides the following offerings:</w:t>
      </w:r>
    </w:p>
    <w:p>
      <w:pPr>
        <w:spacing w:after="0" w:line="14" w:lineRule="exact"/>
        <w:rPr>
          <w:sz w:val="20"/>
          <w:szCs w:val="20"/>
          <w:color w:val="auto"/>
        </w:rPr>
      </w:pPr>
    </w:p>
    <w:p>
      <w:pPr>
        <w:jc w:val="both"/>
        <w:ind w:left="660" w:hanging="328"/>
        <w:spacing w:after="0" w:line="25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Managed By Marqeta: With Managed By Marqeta (“MxM”), Marqeta typically connects customers to an Issuing Bank partner to act as the Bank Identification Number (“BIN”) sponsor for the customer’s card program, manages the customer’s card program on behalf of the Issuing Bank, and provides a full range of services including configuring many of the critical resources required by a customer’s production environment. In addition to providing the customer access to the Marqeta dashboard via our APIs, Marqeta also manages a number of the primary tasks related to launching a card program, such as defining and managing the program with the Card Networks and Issuing Bank, operating the program and managing certain profitability components, and managing compliance with applicable regulations, the Issuing Bank, and Card Network rules. Also available are a variety of managed services, including dispute management, fraud scoring, card fulfillment, reconciliation, and cardholder support services.</w:t>
      </w:r>
    </w:p>
    <w:p>
      <w:pPr>
        <w:spacing w:after="0" w:line="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Powered By Marqeta: With Powered By Marqeta (“PxM”), Marqeta also provides customers access to the Marqeta dashboard via our APIs, provides payment processing, and assists with certain configuration elements that enable the customer to use the platform independently. Generally, our PxM customers are responsible for other elements of the card program, including defining and managing the program with the Card Networks and Issuing Bank as well as managing compliance with applicable regulations, the Issuing Bank, and Card Network rules.</w:t>
      </w:r>
    </w:p>
    <w:p>
      <w:pPr>
        <w:spacing w:after="0" w:line="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Given the modularity of the Marqeta platform, certain customers can also opt to incorporate some elements of MxM into their card program to create a custom solution. Many customers adopt some combination of the MxM managed services even when not adopting the full MxM offering.</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Impact of Macroeconomic Factors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unable to predict the impact macroeconomic factors, including various geopolitical conflicts, uncertainty related to global elections, changes in inflation and interest rates, and uncertainty in global regulatory and economic conditions, including as a result of uncertainty in global trade from potential tariffs and counter tariffs, will have on our processing volumes, and on our future results of operations. A deterioration in macroeconomic conditions could increase the risk of lower consumer spending, including discretionary spending, consumer and merchant bankruptcy, insolvency, business failure, higher credit losses, foreign currency fluctuations, or other business interruption, which may adversely impact our business. We continue to monitor these situations and may take actions that alter our operations and business practices as may be required by federal, state, or local authorities or that we determine are in the best interests of our customers, vendors, and employees. See the section titled “Risk Factors” in this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Quarterly Report on Form 10-Q and in our 2024 Annual Report for further discussion or incorporation by reference of the possible impact of these macroeconomic factors on our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4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 June 30,</w:t>
            </w:r>
          </w:p>
        </w:tc>
        <w:tc>
          <w:tcPr>
            <w:tcW w:w="380" w:type="dxa"/>
            <w:vAlign w:val="bottom"/>
          </w:tcPr>
          <w:p>
            <w:pPr>
              <w:spacing w:after="0"/>
              <w:rPr>
                <w:sz w:val="15"/>
                <w:szCs w:val="15"/>
                <w:color w:val="auto"/>
              </w:rPr>
            </w:pPr>
          </w:p>
        </w:tc>
        <w:tc>
          <w:tcPr>
            <w:tcW w:w="2900" w:type="dxa"/>
            <w:vAlign w:val="bottom"/>
            <w:gridSpan w:val="4"/>
          </w:tcPr>
          <w:p>
            <w:pPr>
              <w:jc w:val="right"/>
              <w:ind w:right="712"/>
              <w:spacing w:after="0"/>
              <w:rPr>
                <w:sz w:val="20"/>
                <w:szCs w:val="20"/>
                <w:color w:val="auto"/>
              </w:rPr>
            </w:pPr>
            <w:r>
              <w:rPr>
                <w:rFonts w:ascii="Arial" w:cs="Arial" w:eastAsia="Arial" w:hAnsi="Arial"/>
                <w:sz w:val="13"/>
                <w:szCs w:val="13"/>
                <w:b w:val="1"/>
                <w:bCs w:val="1"/>
                <w:color w:val="auto"/>
              </w:rPr>
              <w:t>Six Months Ended June 30,</w:t>
            </w:r>
          </w:p>
        </w:tc>
      </w:tr>
      <w:tr>
        <w:trPr>
          <w:trHeight w:val="215"/>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 unless otherwise noted)</w:t>
            </w:r>
          </w:p>
        </w:tc>
        <w:tc>
          <w:tcPr>
            <w:tcW w:w="4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2024</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91,386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70,627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175,857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137,294</w:t>
            </w:r>
          </w:p>
        </w:tc>
      </w:tr>
      <w:tr>
        <w:trPr>
          <w:trHeight w:val="270"/>
        </w:trPr>
        <w:tc>
          <w:tcPr>
            <w:tcW w:w="4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150,392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125,270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289,465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243,237</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104,061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79,353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202,740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163,512</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119,108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(8,907)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83,048</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margin</w:t>
            </w: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Total operating expenses (benefit)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113,289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(25,689)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230,506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108,323</w:t>
            </w:r>
          </w:p>
        </w:tc>
      </w:tr>
      <w:tr>
        <w:trPr>
          <w:trHeight w:val="270"/>
        </w:trPr>
        <w:tc>
          <w:tcPr>
            <w:tcW w:w="4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Non-GAAP Measures: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28,509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48,590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7,409</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75,552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81,170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154,150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156,103</w:t>
            </w: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Total Processing Volume (“TPV”)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TPV represents the total dollar amount of payments processed through our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 We believe that TPV is a key operating metric and a principal indicator of the market adoption of our platform, growth of our brand, growth of our customers' businesses and scale of our business.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is a non-GAAP financial measure that is calculated as Net (loss) income adjusted to exclude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share-based compensation expense; executive chairman long-term performance award; payroll tax related to share-based compensation; restructuring and other one-time costs; acquisition related expenses which consist of due diligence costs, transaction costs and integration costs related to potential or successful acquisitions and cash and non-cash postcombination compensation expenses; income tax expense; and other income, net, which consists primarily of interest income from our short-term investments and cash deposits, impairment of financial instruments, and realized foreign currency gains and losses.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and performance-based restricted stock units. See the section below titled “Use of Non-GAAP Financial Measures” for a discussion of the use of non-GAAP measures, a change in presentation, and a reconciliation of Net (loss) income to Adjusted EBITDA.</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Adjusted EBITDA Margi</w:t>
      </w:r>
      <w:r>
        <w:rPr>
          <w:rFonts w:ascii="Arial" w:cs="Arial" w:eastAsia="Arial" w:hAnsi="Arial"/>
          <w:sz w:val="18"/>
          <w:szCs w:val="18"/>
          <w:b w:val="1"/>
          <w:bCs w:val="1"/>
          <w:color w:val="auto"/>
        </w:rPr>
        <w:t>n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Margin is a non-GAAP financial measure that is calculated as Adjusted EBITDA divided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 This measure is used by management and our Board of Directors to evaluate our operating efficiency. See the section below titled “Use of Non-GAAP Financial Measures” for a discussion of the use of non-GAAP measures and a reconciliation of Net (loss) income to Adjusted EBITDA Margin.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operating expenses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operating expenses is a non-GAAP financial measure that is calculated as Total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adjusted to exclude depreciation and amortization; share-based compensation expense; executive chairman long-term performance award; payroll tax related to share-based compensation; restructuring and other one-time costs; and acquisition-related expenses which consists of due diligence costs, transaction cost and integration costs related to potential or successful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acquisitions, and cash and non-cash postcombination compensation expenses. We believe that Adjusted operating 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 change in presentation, and a reconciliation of total operating expenses to Adjusted operating expenses.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Platform services revenue, net</w:t>
      </w:r>
      <w:r>
        <w:rPr>
          <w:rFonts w:ascii="Arial" w:cs="Arial" w:eastAsia="Arial" w:hAnsi="Arial"/>
          <w:sz w:val="18"/>
          <w:szCs w:val="18"/>
          <w:color w:val="auto"/>
        </w:rPr>
        <w:t>. Platform services revenue includes Interchange Fees, net of Revenue Share and other service-level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to customers, and Card Network and Issuing Bank costs for certain customer arrangements where the Company is an agent in the delivery of services to the customer. Platform services revenue also includes processing and other fees. “Interchange Fees” are transaction-based and volume-based fees set by a Card Network and paid by a merchant bank to the Issuing Bank that issued the payment card used to purchase goods or services from a merchant. We earn Interchange Fees on card transactions we process for our customers and are based on a percentage of the transaction amount plus a fixed amount per transaction. Interchange Fees are recognized when the associated transactions are settled.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Share” payments are incentives to our customers to increase their processing volumes on our platform. Revenue Share is generally computed as a percentage of the Interchange Fees earned or processing volume and is paid to our MxM customers monthly. Revenue Share payments are recorded as a reduction to net revenue. Generally, as customers' processing volumes increase, the rates at which we share revenue increase.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Processing and other fees are priced as either a percentage of processing volume or on a fee per transaction basis and are earned when payment cards are used at automated teller machines or to make cross-border purchases. Minimum processing fees, where customers' processing volumes fall below certain thresholds, are also included in processing and other fees.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revenue when the promised services are complete, and our performance obligations are satisfied. Platform services are considered complete when we have authorized the transaction, validated that the transaction has no errors, and accepted and posted the data to our records.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billed to customers upon ordering card inventory and recognized as revenue when the cards are shipped to the customers.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Costs of revenue consist of Card Network fees, Issuing Bank fees, and card fulfillment costs for customer arrangements where we are the principal in providing services to the customer and excludes depreciation and amortization, which is reported separately within the Condensed Consolidated Statements of Operations and Comprehensive Income (Loss).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 amount per transaction. Card fulfillment costs include physical cards, packaging, and other fulfillment costs.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marketing and incentive arrangements with Card Networks, that provide us with monetary incentives for establishing customer card programs with and routing transaction volume through the respective Card Networks. These incentives are typically calculated as a percentage of the processed transaction volume or the number of transactions routed through the Card Network. We account for these incentives as a reduction of Card Network fees within Costs of Revenue in customer arrangements where we act as the principal. As processing volumes increase, we earn a higher cumulative incentive rate,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subject to achieving specific cumulative volume thresholds within an annual measurement period. For certain incentive arrangements, the annual measurement period may not align with our fiscal year.</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second quarter of fiscal year 2025, we recognized network incentives in the period when cumulative transaction volume thresholds were met, due to insufficient data to reliably estimate the amount of incentives Card Networks would ultimately earn over the respective annual period. This approach resulted in fluctuations in Card Network incentives, particularly when thresholds were reached, as higher incentive rates were applied retroactively to the entire measurement period. Historically, we have earned the highest incentive rates in the first quarter of our fiscal year, when annual measurement periods are nearing completion and higher cumulative transaction volume thresholds are achieved. Conversely, the second quarter generally reflected the lowest incentive rates, as the annual measurement periods and cumulative transaction volume thresholds reset to lower levels.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in the second quarter of fiscal year 2025, we revised our accounting policy for estimating and recognizing network incentives. We now estimate and recognize network incentives based on the cumulative incentive rate we expect to earn over the annual measurement period. We estimate the cumulative incentive rates based on our forecasts for the annual measurement periods, which incorporates both historical experience and our expectations of future events, in addition to other qualitative considerations. The estimated cumulative incentive rates are applied to the volume and/or number of transactions processed during the reporting period to calculate the quarterly network incentives recognized. As a result of this policy revision, the Card Network incentives recognized during the three months ended June 30, 2025 were $6.8 million higher compared to the amount that would have been recognized under the previous policy.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consists primarily of salaries, employee benefits, severance and other termination benefits,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contractors’ cost, and share-based compensation.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consists primarily of third-party hosting fees, software licenses, and hardware purchases below our capitalization threshold,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and maintenance costs.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consists primarily of consulting, legal, audit, and recruiting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consists primarily of rent expense, repairs, maintenance, and other building related costs.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primarily of depreciation of our fixed assets and amortization of capitalized Internal-use software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technology intangible assets.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consists primarily of costs of general marketing and promotional activities.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consists primarily of insurance costs, indemnification costs, travel-related expenses, indirect state and local taxes,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general office expenses.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Executive Chairman Long-Term Performance Award </w:t>
      </w:r>
      <w:r>
        <w:rPr>
          <w:rFonts w:ascii="Arial" w:cs="Arial" w:eastAsia="Arial" w:hAnsi="Arial"/>
          <w:sz w:val="18"/>
          <w:szCs w:val="18"/>
          <w:color w:val="auto"/>
        </w:rPr>
        <w:t>consists of share-based compensation related to the Executive Chairman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 including the impact of forfeiture. The Executive Chairman Long-Term Performance Award was forfeited in the prior year as a result of the Company’s Executive Chairman transitioning to a non-employee director role on the Board of Directors.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income, net consists primarily of interest income from our short-term investments and cash deposits, impairment of financial instruments, and realized foreign currency gains and losses.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consists of U.S. federal and state income taxes, and income taxes related to certain foreign jurisdictions. We maintain a full valuation allowance against our U.S. federal and state net deferred tax assets as we have concluded that it is not more likely than not that we will realize our net deferred tax assets.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2025, the One Big Beautiful Bill Act (H.R. 1, the “Tax Act”) was signed into law, reinstating certain provisions from the 2017 Tax Cuts and Jobs Act, including 100% bonus depreciation under Section 168(k) and immediate expensing of U.S.-based research costs under Section 174. We are currently evaluating the impact of these tax law changes on our financial condition and results of operations. Based on our preliminary assessment, we do not expect the Tax Act to have a material impact on our overall tax expense or effective tax rate for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5"/>
          </w:tcPr>
          <w:p>
            <w:pPr>
              <w:ind w:left="340"/>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5"/>
                <w:szCs w:val="15"/>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3"/>
                <w:szCs w:val="13"/>
                <w:b w:val="1"/>
                <w:bCs w:val="1"/>
                <w:color w:val="auto"/>
              </w:rPr>
              <w:t>Six Months Ended June 30,</w:t>
            </w:r>
          </w:p>
        </w:tc>
      </w:tr>
      <w:tr>
        <w:trPr>
          <w:trHeight w:val="185"/>
        </w:trPr>
        <w:tc>
          <w:tcPr>
            <w:tcW w:w="48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1"/>
              <w:spacing w:after="0"/>
              <w:rPr>
                <w:sz w:val="20"/>
                <w:szCs w:val="20"/>
                <w:color w:val="auto"/>
              </w:rPr>
            </w:pPr>
            <w:r>
              <w:rPr>
                <w:rFonts w:ascii="Arial" w:cs="Arial" w:eastAsia="Arial" w:hAnsi="Arial"/>
                <w:sz w:val="13"/>
                <w:szCs w:val="13"/>
                <w:b w:val="1"/>
                <w:bCs w:val="1"/>
                <w:color w:val="auto"/>
              </w:rPr>
              <w:t>2024</w:t>
            </w:r>
          </w:p>
        </w:tc>
      </w:tr>
      <w:tr>
        <w:trPr>
          <w:trHeight w:val="226"/>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150,392</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289,465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243,237</w:t>
            </w:r>
          </w:p>
        </w:tc>
      </w:tr>
      <w:tr>
        <w:trPr>
          <w:trHeight w:val="230"/>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Costs of revenue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79,725</w:t>
            </w:r>
          </w:p>
        </w:tc>
      </w:tr>
      <w:tr>
        <w:trPr>
          <w:trHeight w:val="22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163,512</w:t>
            </w: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Operating expenses (benefit):</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198,156</w:t>
            </w:r>
          </w:p>
        </w:tc>
      </w:tr>
      <w:tr>
        <w:trPr>
          <w:trHeight w:val="229"/>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27,887</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w:t>
            </w:r>
          </w:p>
        </w:tc>
      </w:tr>
      <w:tr>
        <w:trPr>
          <w:trHeight w:val="229"/>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2,298</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w:t>
            </w:r>
          </w:p>
        </w:tc>
      </w:tr>
      <w:tr>
        <w:trPr>
          <w:trHeight w:val="230"/>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w:t>
            </w:r>
          </w:p>
        </w:tc>
      </w:tr>
      <w:tr>
        <w:trPr>
          <w:trHeight w:val="230"/>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(157,738)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(144,617)</w:t>
            </w:r>
          </w:p>
        </w:tc>
      </w:tr>
      <w:tr>
        <w:trPr>
          <w:trHeight w:val="223"/>
        </w:trPr>
        <w:tc>
          <w:tcPr>
            <w:tcW w:w="48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 (benefit)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113,289</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108,323</w:t>
            </w:r>
          </w:p>
        </w:tc>
      </w:tr>
      <w:tr>
        <w:trPr>
          <w:trHeight w:val="22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(Loss) income from operations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55,189</w:t>
            </w: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28,143</w:t>
            </w:r>
          </w:p>
        </w:tc>
      </w:tr>
      <w:tr>
        <w:trPr>
          <w:trHeight w:val="22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(Loss) income before income tax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83,332</w:t>
            </w: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83,048</w:t>
            </w: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Months Ended June 30, 2025 and 2024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June 30,</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5"/>
        </w:trPr>
        <w:tc>
          <w:tcPr>
            <w:tcW w:w="49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24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5"/>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6"/>
                <w:szCs w:val="16"/>
                <w:color w:val="auto"/>
              </w:rPr>
            </w:pPr>
          </w:p>
        </w:tc>
        <w:tc>
          <w:tcPr>
            <w:tcW w:w="1600" w:type="dxa"/>
            <w:vAlign w:val="bottom"/>
          </w:tcPr>
          <w:p>
            <w:pPr>
              <w:jc w:val="right"/>
              <w:ind w:right="415"/>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Total platform services,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143,135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119,271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23,864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services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7,257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5,999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150,392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125,270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91,386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70,627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1"/>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platform services, net revenue increased by $23.9 million, or 20%, for the three months ended June 30, 2025, compared to the same period in 2024. The overall increase in platform services revenue was primarily driven by a 29% increase in TPV, partially offset by unfavorable shifts in our card program mix, particularly the expansion of programs where we provide processing services with minimal or no program management.</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services revenue increased $1.3 million, or 21%, in the three months ended June 30, 2025, compared to the same period in 2024, driven by higher card-related fulfillment, including one-time card replacements and increased customer card shipments.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TPV was driven by strong performance across all our major use cases, particularly financial services, lending including buy-now-pay later, and expense management. TPV for our top five customers, based on their individual processing volumes in each respective period, increased by 19% in the three months ended June 30, 2025, compared to the same period in 2024, while TPV from all other customers, as a group, grew by 70% over the same period. Note that the composition of the top five customers may differ between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and Gross Margin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gridSpan w:val="5"/>
          </w:tcPr>
          <w:p>
            <w:pPr>
              <w:ind w:left="340"/>
              <w:spacing w:after="0"/>
              <w:rPr>
                <w:sz w:val="20"/>
                <w:szCs w:val="20"/>
                <w:color w:val="auto"/>
              </w:rPr>
            </w:pPr>
            <w:r>
              <w:rPr>
                <w:rFonts w:ascii="Arial" w:cs="Arial" w:eastAsia="Arial" w:hAnsi="Arial"/>
                <w:sz w:val="13"/>
                <w:szCs w:val="13"/>
                <w:b w:val="1"/>
                <w:bCs w:val="1"/>
                <w:color w:val="auto"/>
              </w:rPr>
              <w:t>Three Months Ended June 30,</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34"/>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415"/>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26"/>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of revenue:</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Card Network fees,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36,273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37,940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(1,667)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Issuing Bank fees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5,529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costs of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46,331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104,061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79,353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Costs of revenue increased by $0.4 million, or 1%, for the three months ended June 30, 2025, compared to the same period in 2024. This increase was driven by higher Card Network and Issuing Bank fees related to the 29% increase in TPV, but was mostly offset by $6.8 million higher network incentives recognized during the three months ended June 30, 2025 as a result of the revised accounting policy. Card Network fees are reported net of monetary incentives from Card Networks for processing volume during the period.</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the increase in costs of revenue was outpaced by the net revenue growth discussed above, gross profit increased by $24.7 million, or 31%, and gross margin improved by approximately 6 percentage points for the three months ended June 30, 2025, compared to the same period in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(Benefit)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5"/>
          </w:tcPr>
          <w:p>
            <w:pPr>
              <w:ind w:left="340"/>
              <w:spacing w:after="0"/>
              <w:rPr>
                <w:sz w:val="20"/>
                <w:szCs w:val="20"/>
                <w:color w:val="auto"/>
              </w:rPr>
            </w:pPr>
            <w:r>
              <w:rPr>
                <w:rFonts w:ascii="Arial" w:cs="Arial" w:eastAsia="Arial" w:hAnsi="Arial"/>
                <w:sz w:val="13"/>
                <w:szCs w:val="13"/>
                <w:b w:val="1"/>
                <w:bCs w:val="1"/>
                <w:color w:val="auto"/>
              </w:rPr>
              <w:t>Three Months Ended June 30,</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5"/>
        </w:trPr>
        <w:tc>
          <w:tcPr>
            <w:tcW w:w="47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32"/>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6"/>
                <w:szCs w:val="16"/>
                <w:color w:val="auto"/>
              </w:rPr>
            </w:pPr>
          </w:p>
        </w:tc>
        <w:tc>
          <w:tcPr>
            <w:tcW w:w="1560" w:type="dxa"/>
            <w:vAlign w:val="bottom"/>
          </w:tcPr>
          <w:p>
            <w:pPr>
              <w:jc w:val="right"/>
              <w:ind w:right="395"/>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 (benefit):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Salaries, bonus, benefits and payroll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54,339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66,875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(12,536)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27,070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36,291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4760" w:type="dxa"/>
            <w:vAlign w:val="bottom"/>
            <w:gridSpan w:val="2"/>
          </w:tcPr>
          <w:p>
            <w:pPr>
              <w:ind w:left="240"/>
              <w:spacing w:after="0"/>
              <w:rPr>
                <w:sz w:val="20"/>
                <w:szCs w:val="20"/>
                <w:color w:val="auto"/>
              </w:rPr>
            </w:pPr>
            <w:r>
              <w:rPr>
                <w:rFonts w:ascii="Arial" w:cs="Arial" w:eastAsia="Arial" w:hAnsi="Arial"/>
                <w:sz w:val="18"/>
                <w:szCs w:val="18"/>
                <w:color w:val="auto"/>
              </w:rPr>
              <w:t>Total compensation and benefits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81,409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103,166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(21,757)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16,102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14,769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4,219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6,653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i w:val="1"/>
                <w:iCs w:val="1"/>
                <w:color w:val="auto"/>
              </w:rPr>
              <w:t>— %</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3,352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(157,738)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157,738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i w:val="1"/>
                <w:iCs w:val="1"/>
                <w:color w:val="auto"/>
              </w:rPr>
              <w:t>— %</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476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 (benefit)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113,289</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(25,689)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138,978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541 %</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24"/>
        </w:trPr>
        <w:tc>
          <w:tcPr>
            <w:tcW w:w="476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bonus, benefits, and payroll taxes decreased by $12.5 million, or 19%, for the three months ended June 30, 2025, compared to the same period in 2024. This decrease was primarily driven by lower post-combination compensation expenses for former Power Finance employees and an increase in capitalized salaries, bonus, and benefits costs related to internal-use software development in 2025. These savings were partially offset by the expense incurred during the three months ended June 30, 2025 associated with the one-time retention bonuses given to certain key employees following the departure of our former CEO in the first quarter of 2025, which were not incurred in the same period in 2024.</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Share-based compensation decreased by $9.2 million, or 25%, for the three months ended June 30, 2025, compared to the same period in 2024, mainly due to the forfeitures of stock based awards.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Technology expenses increased by $ 1.3 million, or 9%, for the three months ended June 30, 2025, compared to the same period in 2024. This increase was primarily driven by higher licensing and hosting costs to support system and tool implementations amid ongoing business growth.</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Professional services expenses decreased by $0.6 million or 12%, for the three months ended June 30, 2025, compared to the same period in 2024 due to lower legal and consulting fees.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Occupancy expense decreased by $0.4 million or 30%, for the three months ended June 30, 2025, compared to the same period in 2024. The decrease is due to the impairment of the right-of-use asset associated with our Oakland office recorded during the fourth quarter of 2024.</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Depreciation and amortization expense increased by $2.7 million, or 68%, for the three months ended June 30, 2025 compared to the same period in 2024. This increase was primarily driven by higher amortization of internally developed software as additional projects were capitalized and placed into service.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Marketing and advertising expenses remained relatively flat for the three months ended June 30, 2025 compared to the same period in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remained relatively flat for the three months ended June 30, 2025 compared to the same period in 2024.</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Executive chairman long-term performance award decreased by 100% for the three months ended June 30, 2025, compared to the same period in 2024, due to the forfeiture in the second quarter of 2024 following the Executive Chairman transitioning to a non-employee director role on the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5"/>
          </w:tcPr>
          <w:p>
            <w:pPr>
              <w:ind w:left="340"/>
              <w:spacing w:after="0"/>
              <w:rPr>
                <w:sz w:val="20"/>
                <w:szCs w:val="20"/>
                <w:color w:val="auto"/>
              </w:rPr>
            </w:pPr>
            <w:r>
              <w:rPr>
                <w:rFonts w:ascii="Arial" w:cs="Arial" w:eastAsia="Arial" w:hAnsi="Arial"/>
                <w:sz w:val="13"/>
                <w:szCs w:val="13"/>
                <w:b w:val="1"/>
                <w:bCs w:val="1"/>
                <w:color w:val="auto"/>
              </w:rPr>
              <w:t>Three Months Ended June 30,</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5"/>
        </w:trPr>
        <w:tc>
          <w:tcPr>
            <w:tcW w:w="47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3"/>
                <w:szCs w:val="13"/>
                <w:b w:val="1"/>
                <w:bCs w:val="1"/>
                <w:color w:val="auto"/>
              </w:rPr>
              <w:t>$ Change</w:t>
            </w:r>
          </w:p>
        </w:tc>
        <w:tc>
          <w:tcPr>
            <w:tcW w:w="1560" w:type="dxa"/>
            <w:vAlign w:val="bottom"/>
          </w:tcPr>
          <w:p>
            <w:pPr>
              <w:jc w:val="right"/>
              <w:ind w:right="382"/>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8,787</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14,216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Percentage of net revenue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income, net decreased by $ 5.4 million, or 38%, for the three months ended June 30, 2025, compared to the same period in 2024. This decrease was primarily driven by lower interest income from our short-term investment portfolio and cash balances, as average balances were lower due to $162.9 million of share repurchases completed in the quarter. We also realized lower average yields during the second quarter of 2025 compared to the same period in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remained relatively flat for the three months ended June 30, 2025 compared to the same period in 2024.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generated 46% and 47% of our net revenue from our largest customer, Block, during the three months ended June 30, 2025 and 2024,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Six Months Ended June 30, 2025 and 2024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5"/>
          </w:tcPr>
          <w:p>
            <w:pPr>
              <w:ind w:left="340"/>
              <w:spacing w:after="0"/>
              <w:rPr>
                <w:sz w:val="20"/>
                <w:szCs w:val="20"/>
                <w:color w:val="auto"/>
              </w:rPr>
            </w:pPr>
            <w:r>
              <w:rPr>
                <w:rFonts w:ascii="Arial" w:cs="Arial" w:eastAsia="Arial" w:hAnsi="Arial"/>
                <w:sz w:val="13"/>
                <w:szCs w:val="13"/>
                <w:b w:val="1"/>
                <w:bCs w:val="1"/>
                <w:color w:val="auto"/>
              </w:rPr>
              <w:t>Six Months Ended June 30,</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6"/>
        </w:trPr>
        <w:tc>
          <w:tcPr>
            <w:tcW w:w="49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5"/>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6"/>
                <w:szCs w:val="16"/>
                <w:color w:val="auto"/>
              </w:rPr>
            </w:pPr>
          </w:p>
        </w:tc>
        <w:tc>
          <w:tcPr>
            <w:tcW w:w="1600" w:type="dxa"/>
            <w:vAlign w:val="bottom"/>
          </w:tcPr>
          <w:p>
            <w:pPr>
              <w:jc w:val="right"/>
              <w:ind w:right="415"/>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30"/>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Total platform services,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275,004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233,205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41,799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services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14,461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10,032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289,465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243,237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175,857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137,294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21"/>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platform services, net revenue increased by $41.8 million, or 18%, for the six months ended June 30, 2025, compared to the same period in 2024. The overall increase in platform services revenue was primarily driven by a 28% increase in TPV, partially offset by unfavorable shifts in our card program mix, particularly the expansion of programs where we provide processing services with minimal or no program management.</w:t>
      </w:r>
    </w:p>
    <w:p>
      <w:pPr>
        <w:spacing w:after="0" w:line="20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Other services revenue increased $4.4 million, or 44% in the six months ended June 30, 2025, compared to the same period in 2024, driven by higher card-related fulfillment, including one-time card replacements and increased customer card shipments.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TPV increase was driven by robust growth across all major use cases, particularly financial services, lending including buy-now-pay later, and expense management. TPV for our top five customers, based on their individual processing volumes in each respective period, grew by 19% for the six months ended June 30, 2025, compared to the same period in 2024. TPV from all other customers, as a group, increased by 67% in the six months ended June 30, 2025, compared to the same period in 2024. Note that the composition of the top five customers may differ between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and Gross Margin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0" w:type="dxa"/>
            <w:vAlign w:val="bottom"/>
            <w:gridSpan w:val="5"/>
          </w:tcPr>
          <w:p>
            <w:pPr>
              <w:ind w:left="420"/>
              <w:spacing w:after="0"/>
              <w:rPr>
                <w:sz w:val="20"/>
                <w:szCs w:val="20"/>
                <w:color w:val="auto"/>
              </w:rPr>
            </w:pPr>
            <w:r>
              <w:rPr>
                <w:rFonts w:ascii="Arial" w:cs="Arial" w:eastAsia="Arial" w:hAnsi="Arial"/>
                <w:sz w:val="13"/>
                <w:szCs w:val="13"/>
                <w:b w:val="1"/>
                <w:bCs w:val="1"/>
                <w:color w:val="auto"/>
              </w:rPr>
              <w:t>Six Months Ended June 30,</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34"/>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6"/>
                <w:szCs w:val="16"/>
                <w:color w:val="auto"/>
              </w:rPr>
            </w:pPr>
          </w:p>
        </w:tc>
        <w:tc>
          <w:tcPr>
            <w:tcW w:w="1560" w:type="dxa"/>
            <w:vAlign w:val="bottom"/>
          </w:tcPr>
          <w:p>
            <w:pPr>
              <w:jc w:val="right"/>
              <w:ind w:right="395"/>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of revenue:</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Card Network fees,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66,915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65,184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Issuing Bank fees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8,497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6,296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11,313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8,245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costs of 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86,725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79,725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202,740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163,512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Costs of revenue increased by $7.0 million for the six months ended June 30, 2025, compared to the same period in 2024. This increase was primarily driven by a 28% increase in TPV, but was partially offset by $6.8 million of higher network incentives recognized during the second quarter as a result of the revised accounting policy. Card Network fees are presented net of monetary incentives from Card Networks for processing volume during the period.</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the increase in costs of revenue was outpaced by the net revenue growth discussed above, gross profit increased by $39.2 million, or 24%, and gross margin improved by 3 percentage points for the six months ended June 30, 2025, compared to the same period in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(Benefit)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80" w:type="dxa"/>
            <w:vAlign w:val="bottom"/>
            <w:gridSpan w:val="5"/>
          </w:tcPr>
          <w:p>
            <w:pPr>
              <w:ind w:left="400"/>
              <w:spacing w:after="0"/>
              <w:rPr>
                <w:sz w:val="20"/>
                <w:szCs w:val="20"/>
                <w:color w:val="auto"/>
              </w:rPr>
            </w:pPr>
            <w:r>
              <w:rPr>
                <w:rFonts w:ascii="Arial" w:cs="Arial" w:eastAsia="Arial" w:hAnsi="Arial"/>
                <w:sz w:val="13"/>
                <w:szCs w:val="13"/>
                <w:b w:val="1"/>
                <w:bCs w:val="1"/>
                <w:color w:val="auto"/>
              </w:rPr>
              <w:t>Six Months Ended June 30,</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6"/>
        </w:trPr>
        <w:tc>
          <w:tcPr>
            <w:tcW w:w="47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52"/>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6"/>
                <w:szCs w:val="16"/>
                <w:color w:val="auto"/>
              </w:rPr>
            </w:pPr>
          </w:p>
        </w:tc>
        <w:tc>
          <w:tcPr>
            <w:tcW w:w="1560" w:type="dxa"/>
            <w:vAlign w:val="bottom"/>
          </w:tcPr>
          <w:p>
            <w:pPr>
              <w:jc w:val="right"/>
              <w:ind w:right="382"/>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 (benefit):</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Salaries, bonus, benefits and payroll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114,474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130,552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(16,078)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52,985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67,604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Total compensation and benefits</w:t>
            </w: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167,459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198,156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(30,697)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30,913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27,887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9,914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8,678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2,298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11,984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7,493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 %</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7,322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(144,617)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144,617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 %</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478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230,506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108,323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122,183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24"/>
        </w:trPr>
        <w:tc>
          <w:tcPr>
            <w:tcW w:w="478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bonus, benefits, and payroll taxes decreased by $ 16.1 million, or 12%, for the six months ended June 30, 2025, compared to the same period in 2024. This decrease was primarily driven by lower year-over-year post-combination compensation expenses for former Power Finance employees and an increase in capitalized salaries, bonus, and benefits costs related to internal-use software development during six months ended June 30, 2025. These savings were partially offset by expenses incurred during the six months ended June 30, 2025 associated with restructuring and one-time retention bonuses given to certain key employees following the departure of our former CEO in the first quarter of 2025, which were not incurred in the same period in 2024.</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Share-based compensation decreased by $14.6 million, 22%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for the six months ended June 30, 2025, compared to the same period in 2024, mainly due to the forfeitures of stock based awards, including those related to the CEO’s departure during the first quarter of 2025.</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Technology expenses increased by $3.0 million, or 11%, for the six months ended June 30, 2025, compared to the same period in 2024, mainly driven by higher licensing and hosting costs to support system and tool implementations amid ongoing business growth.</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Professional services expenses increased by $1.2 million, or 14%, for the six months ended June 30, 2025, compared to the same period in 2024, primarily due to higher consulting fees.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Occupancy expense decreased by $ 0.5 million, or 23%, for the six months ended June 30, 2025, compared to the same period in 2024, primarily due to the impairment of the right-of-use asset associated with our Oakland office recorded during the fourth quarter of 2024.</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and amortization increased by $4.5 million, or 60%, for the six months ended June 30, 2025, compared to the same period in 2024. This increase was primarily driven by higher amortization of internally developed software as additional projects were capitalized and placed into service.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Marketing and advertising expenses remained relatively flat for the six months ended June 30, 2025, compared to the same period in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remained relatively flat for the six months ended June 30, 2025, compared to the same period in 2024.</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Executive chairman long-term performance award decreased by 100% for the six months ended June 30, 2025, compared to the same period in 2024, due to the forfeiture in the second quarter of 2024 following the Executive Chairman’s transition to a non-employee director role on the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5"/>
          </w:tcPr>
          <w:p>
            <w:pPr>
              <w:ind w:left="420"/>
              <w:spacing w:after="0"/>
              <w:rPr>
                <w:sz w:val="20"/>
                <w:szCs w:val="20"/>
                <w:color w:val="auto"/>
              </w:rPr>
            </w:pPr>
            <w:r>
              <w:rPr>
                <w:rFonts w:ascii="Arial" w:cs="Arial" w:eastAsia="Arial" w:hAnsi="Arial"/>
                <w:sz w:val="13"/>
                <w:szCs w:val="13"/>
                <w:b w:val="1"/>
                <w:bCs w:val="1"/>
                <w:color w:val="auto"/>
              </w:rPr>
              <w:t>Six Months Ended June 30,</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6"/>
        </w:trPr>
        <w:tc>
          <w:tcPr>
            <w:tcW w:w="47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3"/>
                <w:szCs w:val="13"/>
                <w:b w:val="1"/>
                <w:bCs w:val="1"/>
                <w:color w:val="auto"/>
              </w:rPr>
              <w:t>$ Change</w:t>
            </w:r>
          </w:p>
        </w:tc>
        <w:tc>
          <w:tcPr>
            <w:tcW w:w="1560" w:type="dxa"/>
            <w:vAlign w:val="bottom"/>
          </w:tcPr>
          <w:p>
            <w:pPr>
              <w:jc w:val="right"/>
              <w:ind w:right="382"/>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19,300</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28,143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Percentage of net revenue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income, net decreased by $8.8 million, or 31%, for the six months ended June 30, 2025, compared to the same period in 2024. This decrease was primarily driven by lower interest income from our short-term investment portfolio and cash balances, as average balances were lower due to $193.1 million of share repurchases completed during the six months ended June 30, 2025. We also realized lower average yields during the six months ended June 30, 2025 compared to the same period in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remained relatively flat for the six months ended June 30, 2025 compared to the same period in 2024.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generated 45% and 48% of our net revenue from our largest customer, Block, during the six months ended June 30, 2025 and 2024,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non-GAAP financial measures, such as adjusted EBITDA and Adjusted operating expenses, have limitations as analytical tools and should not be considered in isolation or as substitutes for, or superior to, financial measures prepared in accordance with GAAP. When evaluating these non-GAAP measures, note that we will likely incur expenses in the future similar to the adjustments in the presentation of our non-GAAP measures set forth under “Key Operating Metric and Non-GAAP Financial Measures”. There are a number of key limitations related to the use of these non-GAAP measures compared to their most directly comparable GAAP measures including the following:</w:t>
      </w:r>
    </w:p>
    <w:p>
      <w:pPr>
        <w:spacing w:after="0" w:line="71" w:lineRule="exact"/>
        <w:rPr>
          <w:sz w:val="20"/>
          <w:szCs w:val="20"/>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Adjusted operating expenses differently or not at all, limiting their usefulness as comparative measures;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or amortized may require future replacement, and adjusted EBITDA does not reflect cash requirements for such replacements or new capital expenditures;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reconciliation of Net (loss) income to adjusted EBITDA and GAAP operating expenses to Adjusted operating expenses for the periods presented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60" w:type="dxa"/>
            <w:vAlign w:val="bottom"/>
            <w:gridSpan w:val="5"/>
          </w:tcPr>
          <w:p>
            <w:pPr>
              <w:ind w:left="320"/>
              <w:spacing w:after="0"/>
              <w:rPr>
                <w:sz w:val="20"/>
                <w:szCs w:val="20"/>
                <w:color w:val="auto"/>
              </w:rPr>
            </w:pPr>
            <w:r>
              <w:rPr>
                <w:rFonts w:ascii="Arial" w:cs="Arial" w:eastAsia="Arial" w:hAnsi="Arial"/>
                <w:sz w:val="13"/>
                <w:szCs w:val="13"/>
                <w:b w:val="1"/>
                <w:bCs w:val="1"/>
                <w:color w:val="auto"/>
              </w:rPr>
              <w:t>Three Months Ended June 30,</w:t>
            </w:r>
          </w:p>
        </w:tc>
        <w:tc>
          <w:tcPr>
            <w:tcW w:w="380" w:type="dxa"/>
            <w:vAlign w:val="bottom"/>
          </w:tcPr>
          <w:p>
            <w:pPr>
              <w:spacing w:after="0"/>
              <w:rPr>
                <w:sz w:val="15"/>
                <w:szCs w:val="15"/>
                <w:color w:val="auto"/>
              </w:rPr>
            </w:pPr>
          </w:p>
        </w:tc>
        <w:tc>
          <w:tcPr>
            <w:tcW w:w="2880" w:type="dxa"/>
            <w:vAlign w:val="bottom"/>
            <w:gridSpan w:val="4"/>
          </w:tcPr>
          <w:p>
            <w:pPr>
              <w:jc w:val="right"/>
              <w:ind w:right="691"/>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85"/>
        </w:trPr>
        <w:tc>
          <w:tcPr>
            <w:tcW w:w="46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26"/>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150,392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125,270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289,465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243,237</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119,108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(8,907)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83,048</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margin</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(benefit)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113,289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(25,689)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230,506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108,323</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119,108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(8,907)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83,048</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11,984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27,070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36,291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52,985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67,604</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(157,738)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(144,617)</w:t>
            </w:r>
          </w:p>
        </w:tc>
        <w:tc>
          <w:tcPr>
            <w:tcW w:w="0" w:type="dxa"/>
            <w:vAlign w:val="bottom"/>
          </w:tcPr>
          <w:p>
            <w:pPr>
              <w:spacing w:after="0"/>
              <w:rPr>
                <w:sz w:val="1"/>
                <w:szCs w:val="1"/>
                <w:color w:val="auto"/>
              </w:rPr>
            </w:pPr>
          </w:p>
        </w:tc>
      </w:tr>
      <w:tr>
        <w:trPr>
          <w:trHeight w:val="175"/>
        </w:trPr>
        <w:tc>
          <w:tcPr>
            <w:tcW w:w="464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Payroll tax expense related to share-based</w:t>
            </w:r>
          </w:p>
        </w:tc>
        <w:tc>
          <w:tcPr>
            <w:tcW w:w="380" w:type="dxa"/>
            <w:vAlign w:val="bottom"/>
          </w:tcPr>
          <w:p>
            <w:pPr>
              <w:spacing w:after="0"/>
              <w:rPr>
                <w:sz w:val="15"/>
                <w:szCs w:val="15"/>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ind w:right="151"/>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ind w:right="151"/>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43"/>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compensation</w:t>
            </w:r>
          </w:p>
        </w:tc>
        <w:tc>
          <w:tcPr>
            <w:tcW w:w="3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9,930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19,873</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Restructuring and other one-time costs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(8,787)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(14,216)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28,509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(1,817)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48,590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19 %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(benefit)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113,289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(25,689)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230,506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108,323</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(3,956)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(11,984)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(27,070)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(36,291)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(52,985)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(67,604)</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157,738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144,617</w:t>
            </w:r>
          </w:p>
        </w:tc>
        <w:tc>
          <w:tcPr>
            <w:tcW w:w="0" w:type="dxa"/>
            <w:vAlign w:val="bottom"/>
          </w:tcPr>
          <w:p>
            <w:pPr>
              <w:spacing w:after="0"/>
              <w:rPr>
                <w:sz w:val="1"/>
                <w:szCs w:val="1"/>
                <w:color w:val="auto"/>
              </w:rPr>
            </w:pPr>
          </w:p>
        </w:tc>
      </w:tr>
      <w:tr>
        <w:trPr>
          <w:trHeight w:val="175"/>
        </w:trPr>
        <w:tc>
          <w:tcPr>
            <w:tcW w:w="464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Payroll tax expense related to share-based</w:t>
            </w:r>
          </w:p>
        </w:tc>
        <w:tc>
          <w:tcPr>
            <w:tcW w:w="380" w:type="dxa"/>
            <w:vAlign w:val="bottom"/>
          </w:tcPr>
          <w:p>
            <w:pPr>
              <w:spacing w:after="0"/>
              <w:rPr>
                <w:sz w:val="15"/>
                <w:szCs w:val="15"/>
                <w:color w:val="auto"/>
              </w:rPr>
            </w:pPr>
          </w:p>
        </w:tc>
        <w:tc>
          <w:tcPr>
            <w:tcW w:w="1200" w:type="dxa"/>
            <w:vAlign w:val="bottom"/>
            <w:vMerge w:val="restart"/>
          </w:tcPr>
          <w:p>
            <w:pPr>
              <w:jc w:val="right"/>
              <w:ind w:right="112"/>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ind w:right="111"/>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ind w:right="92"/>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43"/>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compensation</w:t>
            </w:r>
          </w:p>
        </w:tc>
        <w:tc>
          <w:tcPr>
            <w:tcW w:w="3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Restructuring and other one-time costs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gridSpan w:val="2"/>
          </w:tcPr>
          <w:p>
            <w:pPr>
              <w:ind w:left="240"/>
              <w:spacing w:after="0" w:line="230"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(9,930)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(5,488)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(19,873)</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75,552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81,170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154,150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156,103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8"/>
        <w:spacing w:after="0" w:line="273" w:lineRule="auto"/>
        <w:tabs>
          <w:tab w:leader="none" w:pos="224" w:val="left"/>
        </w:tabs>
        <w:numPr>
          <w:ilvl w:val="0"/>
          <w:numId w:val="23"/>
        </w:numPr>
        <w:rPr>
          <w:rFonts w:ascii="Arial" w:cs="Arial" w:eastAsia="Arial" w:hAnsi="Arial"/>
          <w:sz w:val="14"/>
          <w:szCs w:val="14"/>
          <w:color w:val="auto"/>
        </w:rPr>
      </w:pPr>
      <w:r>
        <w:rPr>
          <w:rFonts w:ascii="Arial" w:cs="Arial" w:eastAsia="Arial" w:hAnsi="Arial"/>
          <w:sz w:val="14"/>
          <w:szCs w:val="14"/>
          <w:color w:val="auto"/>
        </w:rPr>
        <w:t>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spacing w:after="0" w:line="17" w:lineRule="exact"/>
        <w:rPr>
          <w:rFonts w:ascii="Arial" w:cs="Arial" w:eastAsia="Arial" w:hAnsi="Arial"/>
          <w:sz w:val="14"/>
          <w:szCs w:val="14"/>
          <w:color w:val="auto"/>
        </w:rPr>
      </w:pPr>
    </w:p>
    <w:p>
      <w:pPr>
        <w:ind w:right="20" w:firstLine="8"/>
        <w:spacing w:after="0" w:line="305" w:lineRule="auto"/>
        <w:tabs>
          <w:tab w:leader="none" w:pos="224"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Restructuring and other one-time costs include the costs associated with the transition of our CEO and other one-time costs related to retention bonuses provided to other key employees. These bonuses have service requirements and are expensed over the requisite service period.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2025, our primary sources of liquidity consisted of cash, cash equivalents, and short-term investments totaling $821.6 million, held primarily for working capital purposes. Our cash equivalents and short-term investments were comprised primarily of bank deposits, money market funds, U.S. treasury bills, U.S. treasury securities, U.S. agency securities, asset-backed securities, commercial paper, certificates of deposit, and corporate debt securities. We have historically incurred significant operating losses, as reflected in our accumulated deficit, and anticipate continued operating losses for the foreseeable future.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transaction with Neptune International Ltd to acquire TransactPay was completed on July 31, 2025 in accordance with the terms in the merger agreement, and we paid €46.0 million in cash. The agreement also includes up to €5.0 million of contingent consideration that could be paid post-closing.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February 25, 2025, our Board of Directors authorized a new share repurchase program for up to $300 million of our Class A common stock (the “2025 Share Repurchase Program”). Repurchases may be executed through open market purchases, privately negotiated transactions, or other methods, in compliance with applicable federal securities laws, including Rule 10b5-1 trading plans under the Exchange Act. Repurchase decisions are based on general business and market conditions, legal requirements, and other relevant factors. The 2025 Share Repurchase Program has no set expiration date. During the six months ended June 30, 2025, we repurchased approximately 42.3 million shares for $193.1 million under this program. As of June 30, 2025, $106.9 million remained available for future share repurchases.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6, 2024, the our Board of Directors authorized a $200 million share repurchase program for our Class A common stock (the "2024 Share Repurchase Program"), following the exhaustion of the $200 million 2023 Share Repurchase Program in the first quarter of fiscal year 2024. Repurchases under the 2024 Share Repurchase Program were made through open market purchases, privately negotiated transactions, or other methods, in accordance with applicable federal securities laws, including Rule 10b5-1 trading plans of the Exchange Act. Repurchase decisions were based on general business and market conditions, legal requirements, and other factors. During the six months ended June 30, 2025, we repurchased approximately 19.2 million shares for $80.5 million, fully utilizing the 2024 Share Repurchase Program authorization.</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3, 2023, we acquired all outstanding stock of Power Finance Inc. (“Power Finance”). As part of the terms of the acquisition, we entered into postcombination cash compensation arrangements with certain key acquired employees whereby we agreed to pay them $85.1 million of cash over a weighted average service period of 2.2 years from the acquisition date, subject to forfeiture upon termination. As of June 30, 2025, $3.2 million of the postcombination cash compensation arrangements remained outstanding.</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existing cash and cash equivalents, and short-term investments of $821.6 million as of June 30, 2025, will be sufficient to meet our working capital and capital expenditure needs for at least the next 12 months. As of the date of filing this Quarterly Report on Form 10-Q, we maintain full access to and control over all our cash, cash equivalents and short-term investments, except amounts held as restricted cash. Our future capital requirements will depend on many factors, such as continued investment in product development, platform infrastructure, share repurchases, potential strategic acquisitions, capital expenditures, and global expansion. We plan to allocate cash to support ongoing business investments, infrastructure enhancements, and non-cancellable purchase commitments with cloud-computing service providers and certain Issuing Banks.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2025, we had $ 8.5 million in restricted cash which included a $7.0 million deposit held at an Issuing Bank to serve as collateral to ensure settlement of our customers' transactions with the Card Networks, in the event that customer funds are not deposited in time. Restricted cash also includes $1.5 million cash held at a bank to secure our payments under a lease agreement for our office space, of which $0.9 million is recorded in Other assets in the June 30, 2025 Condensed Consolidated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ind w:left="36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ind w:left="760"/>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75,719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27,336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9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(288,546)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(109,712)</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9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(190,293)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980" w:type="dxa"/>
            <w:vAlign w:val="bottom"/>
            <w:vMerge w:val="restart"/>
          </w:tcPr>
          <w:p>
            <w:pPr>
              <w:jc w:val="right"/>
              <w:ind w:right="2330"/>
              <w:spacing w:after="0"/>
              <w:rPr>
                <w:sz w:val="20"/>
                <w:szCs w:val="20"/>
                <w:color w:val="auto"/>
              </w:rPr>
            </w:pPr>
            <w:r>
              <w:rPr>
                <w:rFonts w:ascii="Arial" w:cs="Arial" w:eastAsia="Arial" w:hAnsi="Arial"/>
                <w:sz w:val="18"/>
                <w:szCs w:val="18"/>
                <w:color w:val="auto"/>
              </w:rPr>
              <w:t>40</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51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6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cash from operating activities is net revenue. The primary uses of cash in operating activities include Card Network and Issuing Bank fees and employee-related compensation. The timing of settlements of certain operating assets and liabilities, such as revenue share payments, bonus payments, prepayments to cloud-computing service providers, settlements receivable and network incentives receivable, may impact the amounts reported as net cash provided by or used in operating activities in the Condensed Consolidated Statements of Cash Flows.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operating activities was $22.5 million for the six months ended June 30, 2025, a decrease from $26.1 million for the same period in 2024. The year-over-year decrease was primarily driven by the unfavorable timing of settlements for network incentive receivables and accrued expenses and other liabilities, which was partially offset by higher gross profit and lower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investing activities primarily consists of proceeds from maturities of short-term investments, while net cash used in investing activities primarily includes purchases of short-term investments, purchases of property and equipment, and capitalized costs for internal-use software development.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investing activities increased to $75.7 million for the six months ended June 30, 2025, from $27.3 million in the same period in 2024. This increase was primarily driven by higher proceeds from maturities of short-term investments during the six months ended June 30, 2025, partially offset by ongoing investments in property, equipment, and internal-use software.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cash used in financing activities consists primarily of net payments related to share-based compensation activities and our share repurchase programs.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increased to $288.5 million for the six months ended June 30, 2025, from $109.7 million in the same period in 2024. This increase was primarily due to repurchases of our Class A common stock under the 2024 and 2025 Share Repurchase Programs, partially offset by lower tax withholdings related to net share settlement of share-based compensation awards.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Obligations and Other Commitments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Except for the lease extension disclosed in Note 9 “Leases” to our condensed consolidated financial statements, there have been no other material changes to our obligations and other commitments from those reported in our 2024 Annual Report.</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additional information about our contractual obligations and other commitments, see Note 10 “Commitments and Contingencies” to our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related disclosures. On an ongoing basis, we evaluate our accounting estimates and assumptions. Our actual results may differ from these estimates under different assumptions or conditions.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for the revised accounting policy for estimating Card Network incentives, as detailed in Note 2 “Summary of Significant Accounting Policies,” to our condensed consolidated financial statements, no other changes have been made to our accounting policies. Additionally, there have been no material changes to our critical accounting estimates as compared to the critical accounting estimates described in “Management's Discussion and Analysis of Financial Condition and Results of Operations” set forth in our 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have operations within the United States and globally, and are exposed to market risks in the ordinary course of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31F20"/>
        </w:rPr>
        <w:t>Information relating to quantitative and qualitative disclosures about these market risks is described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231F20"/>
        </w:rPr>
        <w:t>As of June 30, 2025, our cash, cash equivalents, and short-term investments totaled $ 821.6 million, comprising cash deposits, money market funds, U.S. treasury bills, U.S. treasury securities, commercial paper, certificates of deposits, asset-backed securities and corporate debt securities. The fair value of these holdings would not be significantly impacted by interest rate fluctuations due to their short-term maturities. Because we classify our short-term investments as “available-for-sale”</w:t>
      </w:r>
      <w:r>
        <w:rPr>
          <w:rFonts w:ascii="Arial" w:cs="Arial" w:eastAsia="Arial" w:hAnsi="Arial"/>
          <w:sz w:val="17"/>
          <w:szCs w:val="17"/>
          <w:color w:val="000000"/>
        </w:rPr>
        <w:t>,</w:t>
      </w:r>
      <w:r>
        <w:rPr>
          <w:rFonts w:ascii="Arial" w:cs="Arial" w:eastAsia="Arial" w:hAnsi="Arial"/>
          <w:sz w:val="17"/>
          <w:szCs w:val="17"/>
          <w:color w:val="231F20"/>
        </w:rPr>
        <w:t xml:space="preserve"> no gains or losses are recognized in the Condensed Consolidated Statement of Operations and Comprehensive Income (Loss) due to changes in interest rates unless such securities are sold prior to maturity or declines in fair value are due to credit losses. We have the ability and intent to hold all short-term investments until maturity. A hypothetical 100 basis point increase or decrease in interest rates would not have a material effect on our financial results or condition.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Exchange Risk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Most </w:t>
      </w:r>
      <w:r>
        <w:rPr>
          <w:rFonts w:ascii="Arial" w:cs="Arial" w:eastAsia="Arial" w:hAnsi="Arial"/>
          <w:sz w:val="18"/>
          <w:szCs w:val="18"/>
          <w:color w:val="231F20"/>
        </w:rPr>
        <w:t>of our sales and operating expenses are denominated in U.S. dollars, and therefore our results of operations are not currently subject to</w:t>
      </w:r>
      <w:r>
        <w:rPr>
          <w:rFonts w:ascii="Arial" w:cs="Arial" w:eastAsia="Arial" w:hAnsi="Arial"/>
          <w:sz w:val="18"/>
          <w:szCs w:val="18"/>
          <w:color w:val="auto"/>
        </w:rPr>
        <w:t xml:space="preserve"> </w:t>
      </w:r>
      <w:r>
        <w:rPr>
          <w:rFonts w:ascii="Arial" w:cs="Arial" w:eastAsia="Arial" w:hAnsi="Arial"/>
          <w:sz w:val="18"/>
          <w:szCs w:val="18"/>
          <w:color w:val="231F20"/>
        </w:rPr>
        <w:t>significant foreign currency risk. As of June 30, 2025, a hypothetical 10% change in foreign currency exchange rates applicable to our business would not have had a material impact on our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with the participation of our Interim Chief Executive Officer and Chief Financial Officer, has evaluated the effectiveness of our disclosure controls and procedures as defined in Rules 13a-15(e) and 15d-15(e) under the Exchange Act as of the end of the period covered by this Quarterly Report on Form 10-Q.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Based on such evaluation, our management has concluded our disclosure controls and procedures were effective at a reasonable assurance level as of </w:t>
      </w:r>
      <w:r>
        <w:rPr>
          <w:rFonts w:ascii="Arial" w:cs="Arial" w:eastAsia="Arial" w:hAnsi="Arial"/>
          <w:sz w:val="18"/>
          <w:szCs w:val="18"/>
          <w:color w:val="231F20"/>
        </w:rPr>
        <w:t>June 30, 2025</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second quarter of fiscal 2025 that have materially affected, or are reasonably likely to materially affect,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we may be subject to legal proceedings and claims arising in the ordinary course of business. We are currently involved in the following matters: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December 9, 2024, a putative securities class action lawsuit, captioned </w:t>
      </w:r>
      <w:r>
        <w:rPr>
          <w:rFonts w:ascii="Arial" w:cs="Arial" w:eastAsia="Arial" w:hAnsi="Arial"/>
          <w:sz w:val="18"/>
          <w:szCs w:val="18"/>
          <w:i w:val="1"/>
          <w:iCs w:val="1"/>
          <w:color w:val="auto"/>
        </w:rPr>
        <w:t>Wai v. Marqeta, Inc., et al.</w:t>
      </w:r>
      <w:r>
        <w:rPr>
          <w:rFonts w:ascii="Arial" w:cs="Arial" w:eastAsia="Arial" w:hAnsi="Arial"/>
          <w:sz w:val="18"/>
          <w:szCs w:val="18"/>
          <w:color w:val="auto"/>
        </w:rPr>
        <w:t>, Case No. 24-cv-08874 (N.D. Cal.), was filed in federal court in the Northern District of California (“Court”) against the Company, its former Chief Executive Officer, and its Chief Financial Officer (“Defendants”) alleging violations of federal securities laws. The lawsuit asserts that Defendants made false or misleading statements relating to the Company’s performance or revenue and gross profit expectations in violation of Sections 10(b) and 20(a) of the Securities Exchange Act of 1934 and Rule 10b-5 promulgated thereunder.</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10, 2024, a second putative securities class action lawsuit, captioned </w:t>
      </w:r>
      <w:r>
        <w:rPr>
          <w:rFonts w:ascii="Arial" w:cs="Arial" w:eastAsia="Arial" w:hAnsi="Arial"/>
          <w:sz w:val="18"/>
          <w:szCs w:val="18"/>
          <w:i w:val="1"/>
          <w:iCs w:val="1"/>
          <w:color w:val="auto"/>
        </w:rPr>
        <w:t>Ford v. Marqeta, Inc.</w:t>
      </w:r>
      <w:r>
        <w:rPr>
          <w:rFonts w:ascii="Arial" w:cs="Arial" w:eastAsia="Arial" w:hAnsi="Arial"/>
          <w:sz w:val="18"/>
          <w:szCs w:val="18"/>
          <w:color w:val="auto"/>
        </w:rPr>
        <w:t xml:space="preserve">, et al., Case No. 24-cv-08892 (N.D. Cal.), was filed in the same Court against the same Defendants alleging violations of the same federal securities laws. The second lawsuit asserts similar theories of liability as the first lawsuit. Both lawsuits (collectively, the “Securities Actions”) seek to recover damages on behalf of shareholders who acquired shares of the Company’s common stock during their respective putative class periods. The Securities Actions have been consolidated into one consolidated securities litigation captioned </w:t>
      </w:r>
      <w:r>
        <w:rPr>
          <w:rFonts w:ascii="Arial" w:cs="Arial" w:eastAsia="Arial" w:hAnsi="Arial"/>
          <w:sz w:val="18"/>
          <w:szCs w:val="18"/>
          <w:i w:val="1"/>
          <w:iCs w:val="1"/>
          <w:color w:val="auto"/>
        </w:rPr>
        <w:t>In re Marqeta, Inc. Securities Litigation</w:t>
      </w:r>
      <w:r>
        <w:rPr>
          <w:rFonts w:ascii="Arial" w:cs="Arial" w:eastAsia="Arial" w:hAnsi="Arial"/>
          <w:sz w:val="18"/>
          <w:szCs w:val="18"/>
          <w:color w:val="auto"/>
        </w:rPr>
        <w:t>, Case No. 24-08874-YGR (N.D. Cal) and the Court has appointed a lead plaintiff and lead plaintiff’s counsel in the matter. On April 10, 2025, the lead plaintiff filed a consolidated amended complaint, which alleges a putative class period of between February 28, 2024 and November 4, 2024. The Company and the other Defendants filed a motion to dismiss the consolidated amended complaint on May 15, 2025.</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February 4, 2025, a putative shareholder derivative lawsuit, captioned </w:t>
      </w:r>
      <w:r>
        <w:rPr>
          <w:rFonts w:ascii="Arial" w:cs="Arial" w:eastAsia="Arial" w:hAnsi="Arial"/>
          <w:sz w:val="18"/>
          <w:szCs w:val="18"/>
          <w:i w:val="1"/>
          <w:iCs w:val="1"/>
          <w:color w:val="auto"/>
        </w:rPr>
        <w:t>Smith v. Khalaf, et al.</w:t>
      </w:r>
      <w:r>
        <w:rPr>
          <w:rFonts w:ascii="Arial" w:cs="Arial" w:eastAsia="Arial" w:hAnsi="Arial"/>
          <w:sz w:val="18"/>
          <w:szCs w:val="18"/>
          <w:color w:val="auto"/>
        </w:rPr>
        <w:t xml:space="preserve">, Case No. 25-cv-01174 (N.D. Cal.), was filed in the same Court against the Company’s former Chief Executive Officer, its Chief Financial Officer, and its Board of Directors, and names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lawsuits, captioned </w:t>
      </w:r>
      <w:r>
        <w:rPr>
          <w:rFonts w:ascii="Arial" w:cs="Arial" w:eastAsia="Arial" w:hAnsi="Arial"/>
          <w:sz w:val="18"/>
          <w:szCs w:val="18"/>
          <w:i w:val="1"/>
          <w:iCs w:val="1"/>
          <w:color w:val="auto"/>
        </w:rPr>
        <w:t>Ojserkis v. Khalaf, et al.</w:t>
      </w:r>
      <w:r>
        <w:rPr>
          <w:rFonts w:ascii="Arial" w:cs="Arial" w:eastAsia="Arial" w:hAnsi="Arial"/>
          <w:sz w:val="18"/>
          <w:szCs w:val="18"/>
          <w:color w:val="auto"/>
        </w:rPr>
        <w:t xml:space="preserve">, Case No. 25-cv-01883 (N.D. Cal.) and </w:t>
      </w:r>
      <w:r>
        <w:rPr>
          <w:rFonts w:ascii="Arial" w:cs="Arial" w:eastAsia="Arial" w:hAnsi="Arial"/>
          <w:sz w:val="18"/>
          <w:szCs w:val="18"/>
          <w:i w:val="1"/>
          <w:iCs w:val="1"/>
          <w:color w:val="auto"/>
        </w:rPr>
        <w:t>Preciado v. Khalaf, et al.</w:t>
      </w:r>
      <w:r>
        <w:rPr>
          <w:rFonts w:ascii="Arial" w:cs="Arial" w:eastAsia="Arial" w:hAnsi="Arial"/>
          <w:sz w:val="18"/>
          <w:szCs w:val="18"/>
          <w:color w:val="auto"/>
        </w:rPr>
        <w:t>, Case No. 3:25-cv-02100 (N.D. Cal.), were filed on February 21, 2025 and February 27, 2025, respectively.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putative shareholder derivative suits have been consolidated into one lawsuit captioned </w:t>
      </w:r>
      <w:r>
        <w:rPr>
          <w:rFonts w:ascii="Arial" w:cs="Arial" w:eastAsia="Arial" w:hAnsi="Arial"/>
          <w:sz w:val="18"/>
          <w:szCs w:val="18"/>
          <w:i w:val="1"/>
          <w:iCs w:val="1"/>
          <w:color w:val="auto"/>
        </w:rPr>
        <w:t>In re Marqeta, Inc. Derivative Litigation</w:t>
      </w:r>
      <w:r>
        <w:rPr>
          <w:rFonts w:ascii="Arial" w:cs="Arial" w:eastAsia="Arial" w:hAnsi="Arial"/>
          <w:sz w:val="18"/>
          <w:szCs w:val="18"/>
          <w:color w:val="auto"/>
        </w:rPr>
        <w:t>, Case No. 4:25-cv-01174-YGR (N.D. Cal). The court has stayed the consolidated derivative action pending the resolution of motions to dismiss in the consolidated Securities Actions.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Given the inherent uncertainty of litigation, we cannot reasonably estimate the likelihood of an unfavorable outcome or the amount or range of any potential loss.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In addition to the other information set forth in this Quarterly Report on Form 10-Q, our business, financial condition, results of operations, cash flows, future prospects, and the trading price of our Class A common stock can be affected by a number of factors, whether currently known or unknown, including but not limited to those described in Part I, Item 1A of our 2024 Annual Report under the heading "Risk Factors," which are incorporated herein by reference, any one or more of which could, directly or indirectly, materially and adversely affect our business, financial condition, results of operations, cash flows, future prospects, and the trading price of our Class A common stock, or cause them to vary materially from past or anticipated future results. There have been no material changes to our risk factors since the 2024 Annual Report.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the repurchases of our Class A common stock during the three months ended June 30, 2025 (in thousands,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Arial" w:cs="Arial" w:eastAsia="Arial" w:hAnsi="Arial"/>
                <w:sz w:val="13"/>
                <w:szCs w:val="13"/>
                <w:b w:val="1"/>
                <w:bCs w:val="1"/>
                <w:color w:val="auto"/>
              </w:rPr>
              <w:t>Approximate Dollar Value of</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4"/>
              </w:rPr>
              <w:t>Average Price</w:t>
            </w:r>
          </w:p>
        </w:tc>
        <w:tc>
          <w:tcPr>
            <w:tcW w:w="2040" w:type="dxa"/>
            <w:vAlign w:val="bottom"/>
          </w:tcPr>
          <w:p>
            <w:pPr>
              <w:jc w:val="right"/>
              <w:ind w:right="87"/>
              <w:spacing w:after="0"/>
              <w:rPr>
                <w:sz w:val="20"/>
                <w:szCs w:val="20"/>
                <w:color w:val="auto"/>
              </w:rPr>
            </w:pPr>
            <w:r>
              <w:rPr>
                <w:rFonts w:ascii="Arial" w:cs="Arial" w:eastAsia="Arial" w:hAnsi="Arial"/>
                <w:sz w:val="13"/>
                <w:szCs w:val="13"/>
                <w:b w:val="1"/>
                <w:bCs w:val="1"/>
                <w:color w:val="auto"/>
              </w:rPr>
              <w:t>Total Number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center"/>
              <w:ind w:right="49"/>
              <w:spacing w:after="0"/>
              <w:rPr>
                <w:sz w:val="20"/>
                <w:szCs w:val="20"/>
                <w:color w:val="auto"/>
              </w:rPr>
            </w:pPr>
            <w:r>
              <w:rPr>
                <w:rFonts w:ascii="Arial" w:cs="Arial" w:eastAsia="Arial" w:hAnsi="Arial"/>
                <w:sz w:val="13"/>
                <w:szCs w:val="13"/>
                <w:b w:val="1"/>
                <w:bCs w:val="1"/>
                <w:color w:val="auto"/>
                <w:w w:val="97"/>
              </w:rPr>
              <w:t>Shares that May Yet Be</w:t>
            </w:r>
          </w:p>
        </w:tc>
        <w:tc>
          <w:tcPr>
            <w:tcW w:w="0" w:type="dxa"/>
            <w:vAlign w:val="bottom"/>
          </w:tcPr>
          <w:p>
            <w:pPr>
              <w:spacing w:after="0"/>
              <w:rPr>
                <w:sz w:val="1"/>
                <w:szCs w:val="1"/>
                <w:color w:val="auto"/>
              </w:rPr>
            </w:pPr>
          </w:p>
        </w:tc>
      </w:tr>
      <w:tr>
        <w:trPr>
          <w:trHeight w:val="135"/>
        </w:trPr>
        <w:tc>
          <w:tcPr>
            <w:tcW w:w="3440" w:type="dxa"/>
            <w:vAlign w:val="bottom"/>
            <w:gridSpan w:val="2"/>
            <w:vMerge w:val="restart"/>
          </w:tcPr>
          <w:p>
            <w:pPr>
              <w:ind w:left="1580"/>
              <w:spacing w:after="0"/>
              <w:rPr>
                <w:sz w:val="20"/>
                <w:szCs w:val="20"/>
                <w:color w:val="auto"/>
              </w:rPr>
            </w:pPr>
            <w:r>
              <w:rPr>
                <w:rFonts w:ascii="Arial" w:cs="Arial" w:eastAsia="Arial" w:hAnsi="Arial"/>
                <w:sz w:val="16"/>
                <w:szCs w:val="16"/>
                <w:b w:val="1"/>
                <w:bCs w:val="1"/>
                <w:color w:val="auto"/>
              </w:rPr>
              <w:t>Period</w:t>
            </w:r>
          </w:p>
        </w:tc>
        <w:tc>
          <w:tcPr>
            <w:tcW w:w="1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040" w:type="dxa"/>
            <w:vAlign w:val="bottom"/>
          </w:tcPr>
          <w:p>
            <w:pPr>
              <w:jc w:val="right"/>
              <w:ind w:right="67"/>
              <w:spacing w:after="0" w:line="135" w:lineRule="exact"/>
              <w:rPr>
                <w:sz w:val="20"/>
                <w:szCs w:val="20"/>
                <w:color w:val="auto"/>
              </w:rPr>
            </w:pPr>
            <w:r>
              <w:rPr>
                <w:rFonts w:ascii="Arial" w:cs="Arial" w:eastAsia="Arial" w:hAnsi="Arial"/>
                <w:sz w:val="13"/>
                <w:szCs w:val="13"/>
                <w:b w:val="1"/>
                <w:bCs w:val="1"/>
                <w:color w:val="auto"/>
              </w:rPr>
              <w:t>Purchased as Part of Publicly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6"/>
              </w:rPr>
              <w:t>Purchased Under the Plans or</w:t>
            </w:r>
          </w:p>
        </w:tc>
        <w:tc>
          <w:tcPr>
            <w:tcW w:w="0" w:type="dxa"/>
            <w:vAlign w:val="bottom"/>
          </w:tcPr>
          <w:p>
            <w:pPr>
              <w:spacing w:after="0"/>
              <w:rPr>
                <w:sz w:val="1"/>
                <w:szCs w:val="1"/>
                <w:color w:val="auto"/>
              </w:rPr>
            </w:pPr>
          </w:p>
        </w:tc>
      </w:tr>
      <w:tr>
        <w:trPr>
          <w:trHeight w:val="193"/>
        </w:trPr>
        <w:tc>
          <w:tcPr>
            <w:tcW w:w="3440" w:type="dxa"/>
            <w:vAlign w:val="bottom"/>
            <w:gridSpan w:val="2"/>
            <w:vMerge w:val="continue"/>
          </w:tcPr>
          <w:p>
            <w:pPr>
              <w:spacing w:after="0"/>
              <w:rPr>
                <w:sz w:val="16"/>
                <w:szCs w:val="16"/>
                <w:color w:val="auto"/>
              </w:rPr>
            </w:pPr>
          </w:p>
        </w:tc>
        <w:tc>
          <w:tcPr>
            <w:tcW w:w="1680" w:type="dxa"/>
            <w:vAlign w:val="bottom"/>
          </w:tcPr>
          <w:p>
            <w:pPr>
              <w:jc w:val="right"/>
              <w:ind w:right="45"/>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Paid per Share</w:t>
            </w:r>
          </w:p>
        </w:tc>
        <w:tc>
          <w:tcPr>
            <w:tcW w:w="2040" w:type="dxa"/>
            <w:vAlign w:val="bottom"/>
          </w:tcPr>
          <w:p>
            <w:pPr>
              <w:jc w:val="right"/>
              <w:spacing w:after="0"/>
              <w:rPr>
                <w:sz w:val="20"/>
                <w:szCs w:val="20"/>
                <w:color w:val="auto"/>
              </w:rPr>
            </w:pPr>
            <w:r>
              <w:rPr>
                <w:rFonts w:ascii="Arial" w:cs="Arial" w:eastAsia="Arial" w:hAnsi="Arial"/>
                <w:sz w:val="13"/>
                <w:szCs w:val="13"/>
                <w:b w:val="1"/>
                <w:bCs w:val="1"/>
                <w:color w:val="auto"/>
                <w:w w:val="95"/>
              </w:rPr>
              <w:t xml:space="preserve">Announced Plans or Programs </w:t>
            </w:r>
            <w:r>
              <w:rPr>
                <w:rFonts w:ascii="Arial" w:cs="Arial" w:eastAsia="Arial" w:hAnsi="Arial"/>
                <w:sz w:val="16"/>
                <w:szCs w:val="16"/>
                <w:b w:val="1"/>
                <w:bCs w:val="1"/>
                <w:color w:val="auto"/>
                <w:w w:val="95"/>
                <w:vertAlign w:val="superscript"/>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ind w:right="49"/>
              <w:spacing w:after="0"/>
              <w:rPr>
                <w:sz w:val="20"/>
                <w:szCs w:val="20"/>
                <w:color w:val="auto"/>
              </w:rPr>
            </w:pPr>
            <w:r>
              <w:rPr>
                <w:rFonts w:ascii="Arial" w:cs="Arial" w:eastAsia="Arial" w:hAnsi="Arial"/>
                <w:sz w:val="13"/>
                <w:szCs w:val="13"/>
                <w:b w:val="1"/>
                <w:bCs w:val="1"/>
                <w:color w:val="auto"/>
                <w:w w:val="93"/>
              </w:rPr>
              <w:t xml:space="preserve">Programs </w:t>
            </w:r>
            <w:r>
              <w:rPr>
                <w:rFonts w:ascii="Arial" w:cs="Arial" w:eastAsia="Arial" w:hAnsi="Arial"/>
                <w:sz w:val="16"/>
                <w:szCs w:val="16"/>
                <w:b w:val="1"/>
                <w:bCs w:val="1"/>
                <w:color w:val="auto"/>
                <w:w w:val="93"/>
                <w:vertAlign w:val="superscript"/>
              </w:rPr>
              <w:t>(1)</w:t>
            </w: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April 1 - 30, 2025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3.89</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12,744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220,158</w:t>
            </w:r>
          </w:p>
        </w:tc>
        <w:tc>
          <w:tcPr>
            <w:tcW w:w="0" w:type="dxa"/>
            <w:vAlign w:val="bottom"/>
          </w:tcPr>
          <w:p>
            <w:pPr>
              <w:spacing w:after="0"/>
              <w:rPr>
                <w:sz w:val="1"/>
                <w:szCs w:val="1"/>
                <w:color w:val="auto"/>
              </w:rPr>
            </w:pPr>
          </w:p>
        </w:tc>
      </w:tr>
      <w:tr>
        <w:trPr>
          <w:trHeight w:val="222"/>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May 1 - 31, 2025</w:t>
            </w:r>
          </w:p>
        </w:tc>
        <w:tc>
          <w:tcPr>
            <w:tcW w:w="1680" w:type="dxa"/>
            <w:vAlign w:val="bottom"/>
          </w:tcPr>
          <w:p>
            <w:pPr>
              <w:jc w:val="right"/>
              <w:spacing w:after="0"/>
              <w:rPr>
                <w:sz w:val="20"/>
                <w:szCs w:val="20"/>
                <w:color w:val="auto"/>
              </w:rPr>
            </w:pPr>
            <w:r>
              <w:rPr>
                <w:rFonts w:ascii="Arial" w:cs="Arial" w:eastAsia="Arial" w:hAnsi="Arial"/>
                <w:sz w:val="16"/>
                <w:szCs w:val="16"/>
                <w:color w:val="auto"/>
              </w:rPr>
              <w:t>15,899</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9"/>
                <w:szCs w:val="19"/>
                <w:color w:val="auto"/>
              </w:rPr>
            </w:pPr>
          </w:p>
        </w:tc>
        <w:tc>
          <w:tcPr>
            <w:tcW w:w="2040" w:type="dxa"/>
            <w:vAlign w:val="bottom"/>
          </w:tcPr>
          <w:p>
            <w:pPr>
              <w:jc w:val="right"/>
              <w:ind w:right="7"/>
              <w:spacing w:after="0"/>
              <w:rPr>
                <w:sz w:val="20"/>
                <w:szCs w:val="20"/>
                <w:color w:val="auto"/>
              </w:rPr>
            </w:pPr>
            <w:r>
              <w:rPr>
                <w:rFonts w:ascii="Arial" w:cs="Arial" w:eastAsia="Arial" w:hAnsi="Arial"/>
                <w:sz w:val="16"/>
                <w:szCs w:val="16"/>
                <w:color w:val="auto"/>
              </w:rPr>
              <w:t>15,899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
              <w:spacing w:after="0"/>
              <w:rPr>
                <w:sz w:val="20"/>
                <w:szCs w:val="20"/>
                <w:color w:val="auto"/>
              </w:rPr>
            </w:pPr>
            <w:r>
              <w:rPr>
                <w:rFonts w:ascii="Arial" w:cs="Arial" w:eastAsia="Arial" w:hAnsi="Arial"/>
                <w:sz w:val="16"/>
                <w:szCs w:val="16"/>
                <w:color w:val="auto"/>
              </w:rPr>
              <w:t>142,990</w:t>
            </w:r>
          </w:p>
        </w:tc>
        <w:tc>
          <w:tcPr>
            <w:tcW w:w="0" w:type="dxa"/>
            <w:vAlign w:val="bottom"/>
          </w:tcPr>
          <w:p>
            <w:pPr>
              <w:spacing w:after="0"/>
              <w:rPr>
                <w:sz w:val="1"/>
                <w:szCs w:val="1"/>
                <w:color w:val="auto"/>
              </w:rPr>
            </w:pPr>
          </w:p>
        </w:tc>
      </w:tr>
      <w:tr>
        <w:trPr>
          <w:trHeight w:val="237"/>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1 - 30,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6,599</w:t>
            </w:r>
          </w:p>
        </w:tc>
        <w:tc>
          <w:tcPr>
            <w:tcW w:w="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6,599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106,892</w:t>
            </w:r>
          </w:p>
        </w:tc>
        <w:tc>
          <w:tcPr>
            <w:tcW w:w="0" w:type="dxa"/>
            <w:vAlign w:val="bottom"/>
          </w:tcPr>
          <w:p>
            <w:pPr>
              <w:spacing w:after="0"/>
              <w:rPr>
                <w:sz w:val="1"/>
                <w:szCs w:val="1"/>
                <w:color w:val="auto"/>
              </w:rPr>
            </w:pPr>
          </w:p>
        </w:tc>
      </w:tr>
      <w:tr>
        <w:trPr>
          <w:trHeight w:val="217"/>
        </w:trPr>
        <w:tc>
          <w:tcPr>
            <w:tcW w:w="3440" w:type="dxa"/>
            <w:vAlign w:val="bottom"/>
            <w:gridSpan w:val="2"/>
          </w:tcPr>
          <w:p>
            <w:pPr>
              <w:ind w:left="36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35,242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8"/>
        <w:spacing w:after="0" w:line="294" w:lineRule="auto"/>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On February 25, 2025, our Board of Directors authorized a new share repurchase program of up to $300 million of our Class A common stock (the “2025 Share Repurchase Program”). Under the 2025 Share Repurchase Program, we are authorized to repurchase shares through open market purchases, in privately negotiated transactions, or by other means, in accordance with applicable federal securities laws, including through trading plans under Rule 10b5-1 of the Exchange Act. Repurchase decisions are based on general business and market conditions, and other factors, including legal requirements. The 2025 Share Repurchase Program has no set expiration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52" w:lineRule="exact"/>
        <w:rPr>
          <w:sz w:val="20"/>
          <w:szCs w:val="20"/>
          <w:color w:val="auto"/>
        </w:rPr>
      </w:pPr>
    </w:p>
    <w:p>
      <w:pPr>
        <w:jc w:val="both"/>
        <w:ind w:firstLine="8"/>
        <w:spacing w:after="0" w:line="247"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our last fiscal quarter, on May 16, 2025, Todd Pollak, our Chief Revenue Officer, adopted a “Rule 10b5-1 trading arrangement” as defined in Regulation S-K Item 408 providing for the sale from time to time of an aggregate of up to 202,135 shares of our Class A Common Stock. The trading arrangement is intended to satisfy the affirmative defense in Rule 10b5-1(c). The duration of the trading arrangement is until June 30, 2026, or earlier if all transactions under the trading arrangement are completed, but in no case earlier than one year, or later than two years, from May 16, 2025.</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on June 10, 2025, Crystal Sumner, our Chief Administrative Officer, adopted a Rule 10b5-1 trading arrangement providing for the sale from time to time of an aggregate of up to 91,000 shares of our Class A Common Stock. The trading arrangement is intended to satisfy the affirmative defense in Rule 10b5-1(c). The duration of the trading arrangement is until June 19, 2026, or earlier if all transactions under the trading arrangement are completed, but in no case earlier than one year, or later than two years, from June 10, 2025.</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 other officers, as defined in Rule 16a-1(f), or directors adopted or terminated a Rule 10b5-1 trading arrangement or a “non-Rule 10b5-1 trading arrangement,” as defined in Item 408 of Regulation S-K, during our last fiscal quarter.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herewith or incorporated by reference herein:</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left="517"/>
              <w:spacing w:after="0"/>
              <w:rPr>
                <w:sz w:val="20"/>
                <w:szCs w:val="20"/>
                <w:color w:val="auto"/>
              </w:rPr>
            </w:pPr>
            <w:r>
              <w:rPr>
                <w:rFonts w:ascii="Arial" w:cs="Arial" w:eastAsia="Arial" w:hAnsi="Arial"/>
                <w:sz w:val="13"/>
                <w:szCs w:val="13"/>
                <w:b w:val="1"/>
                <w:bCs w:val="1"/>
                <w:color w:val="auto"/>
                <w:w w:val="97"/>
              </w:rPr>
              <w:t>Incorporated by Reference</w:t>
            </w:r>
          </w:p>
        </w:tc>
        <w:tc>
          <w:tcPr>
            <w:tcW w:w="1160" w:type="dxa"/>
            <w:vAlign w:val="bottom"/>
            <w:tcBorders>
              <w:bottom w:val="single" w:sz="8" w:color="auto"/>
            </w:tcBorders>
          </w:tcPr>
          <w:p>
            <w:pPr>
              <w:spacing w:after="0"/>
              <w:rPr>
                <w:sz w:val="15"/>
                <w:szCs w:val="15"/>
                <w:color w:val="auto"/>
              </w:rPr>
            </w:pPr>
          </w:p>
        </w:tc>
      </w:tr>
      <w:tr>
        <w:trPr>
          <w:trHeight w:val="172"/>
        </w:trPr>
        <w:tc>
          <w:tcPr>
            <w:tcW w:w="880" w:type="dxa"/>
            <w:vAlign w:val="bottom"/>
          </w:tcPr>
          <w:p>
            <w:pPr>
              <w:spacing w:after="0"/>
              <w:rPr>
                <w:sz w:val="20"/>
                <w:szCs w:val="20"/>
                <w:color w:val="auto"/>
              </w:rPr>
            </w:pPr>
            <w:r>
              <w:rPr>
                <w:rFonts w:ascii="Arial" w:cs="Arial" w:eastAsia="Arial" w:hAnsi="Arial"/>
                <w:sz w:val="13"/>
                <w:szCs w:val="13"/>
                <w:b w:val="1"/>
                <w:bCs w:val="1"/>
                <w:color w:val="auto"/>
              </w:rPr>
              <w:t>Exhibit No.</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920" w:type="dxa"/>
            <w:vAlign w:val="bottom"/>
            <w:gridSpan w:val="6"/>
          </w:tcPr>
          <w:p>
            <w:pPr>
              <w:ind w:left="1480"/>
              <w:spacing w:after="0"/>
              <w:rPr>
                <w:sz w:val="20"/>
                <w:szCs w:val="20"/>
                <w:color w:val="auto"/>
              </w:rPr>
            </w:pPr>
            <w:r>
              <w:rPr>
                <w:rFonts w:ascii="Arial" w:cs="Arial" w:eastAsia="Arial" w:hAnsi="Arial"/>
                <w:sz w:val="13"/>
                <w:szCs w:val="13"/>
                <w:b w:val="1"/>
                <w:bCs w:val="1"/>
                <w:color w:val="auto"/>
              </w:rPr>
              <w:t>Description</w:t>
            </w:r>
          </w:p>
        </w:tc>
        <w:tc>
          <w:tcPr>
            <w:tcW w:w="580" w:type="dxa"/>
            <w:vAlign w:val="bottom"/>
            <w:gridSpan w:val="2"/>
          </w:tcPr>
          <w:p>
            <w:pPr>
              <w:ind w:left="100"/>
              <w:spacing w:after="0"/>
              <w:rPr>
                <w:sz w:val="20"/>
                <w:szCs w:val="20"/>
                <w:color w:val="auto"/>
              </w:rPr>
            </w:pPr>
            <w:r>
              <w:rPr>
                <w:rFonts w:ascii="Arial" w:cs="Arial" w:eastAsia="Arial" w:hAnsi="Arial"/>
                <w:sz w:val="13"/>
                <w:szCs w:val="13"/>
                <w:b w:val="1"/>
                <w:bCs w:val="1"/>
                <w:color w:val="auto"/>
              </w:rPr>
              <w:t>Form</w:t>
            </w: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File No.</w:t>
            </w:r>
          </w:p>
        </w:tc>
        <w:tc>
          <w:tcPr>
            <w:tcW w:w="13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7"/>
              </w:rPr>
              <w:t>Exhibit No.</w:t>
            </w:r>
          </w:p>
        </w:tc>
        <w:tc>
          <w:tcPr>
            <w:tcW w:w="1160" w:type="dxa"/>
            <w:vAlign w:val="bottom"/>
          </w:tcPr>
          <w:p>
            <w:pPr>
              <w:ind w:left="80"/>
              <w:spacing w:after="0"/>
              <w:rPr>
                <w:sz w:val="20"/>
                <w:szCs w:val="20"/>
                <w:color w:val="auto"/>
              </w:rPr>
            </w:pPr>
            <w:r>
              <w:rPr>
                <w:rFonts w:ascii="Arial" w:cs="Arial" w:eastAsia="Arial" w:hAnsi="Arial"/>
                <w:sz w:val="13"/>
                <w:szCs w:val="13"/>
                <w:b w:val="1"/>
                <w:bCs w:val="1"/>
                <w:color w:val="auto"/>
              </w:rPr>
              <w:t>Filing Date</w:t>
            </w:r>
          </w:p>
        </w:tc>
      </w:tr>
      <w:tr>
        <w:trPr>
          <w:trHeight w:val="146"/>
        </w:trPr>
        <w:tc>
          <w:tcPr>
            <w:tcW w:w="880" w:type="dxa"/>
            <w:vAlign w:val="bottom"/>
          </w:tcPr>
          <w:p>
            <w:pPr>
              <w:jc w:val="center"/>
              <w:ind w:right="150"/>
              <w:spacing w:after="0" w:line="145" w:lineRule="exact"/>
              <w:rPr>
                <w:sz w:val="20"/>
                <w:szCs w:val="20"/>
                <w:color w:val="auto"/>
              </w:rPr>
            </w:pPr>
            <w:r>
              <w:rPr>
                <w:rFonts w:ascii="Arial" w:cs="Arial" w:eastAsia="Arial" w:hAnsi="Arial"/>
                <w:sz w:val="14"/>
                <w:szCs w:val="14"/>
                <w:color w:val="auto"/>
              </w:rPr>
              <w:t>10.1</w:t>
            </w:r>
            <w:r>
              <w:rPr>
                <w:rFonts w:ascii="Arial" w:cs="Arial" w:eastAsia="Arial" w:hAnsi="Arial"/>
                <w:sz w:val="9"/>
                <w:szCs w:val="9"/>
                <w:color w:val="auto"/>
              </w:rPr>
              <w:t>†*</w:t>
            </w:r>
          </w:p>
        </w:tc>
        <w:tc>
          <w:tcPr>
            <w:tcW w:w="6100" w:type="dxa"/>
            <w:vAlign w:val="bottom"/>
            <w:gridSpan w:val="8"/>
          </w:tcPr>
          <w:p>
            <w:pPr>
              <w:spacing w:after="0" w:line="145" w:lineRule="exact"/>
              <w:rPr>
                <w:sz w:val="20"/>
                <w:szCs w:val="20"/>
                <w:color w:val="auto"/>
              </w:rPr>
            </w:pPr>
            <w:r>
              <w:rPr>
                <w:rFonts w:ascii="Arial" w:cs="Arial" w:eastAsia="Arial" w:hAnsi="Arial"/>
                <w:sz w:val="14"/>
                <w:szCs w:val="14"/>
                <w:color w:val="0000FF"/>
              </w:rPr>
              <w:t>Fourth Amendment to Lease, by and between Marqeta, Inc. and 180 Grand, LLC, dated as of</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128"/>
        </w:trPr>
        <w:tc>
          <w:tcPr>
            <w:tcW w:w="880" w:type="dxa"/>
            <w:vAlign w:val="bottom"/>
          </w:tcPr>
          <w:p>
            <w:pPr>
              <w:spacing w:after="0"/>
              <w:rPr>
                <w:sz w:val="11"/>
                <w:szCs w:val="11"/>
                <w:color w:val="auto"/>
              </w:rPr>
            </w:pPr>
          </w:p>
        </w:tc>
        <w:tc>
          <w:tcPr>
            <w:tcW w:w="5940" w:type="dxa"/>
            <w:vAlign w:val="bottom"/>
            <w:tcBorders>
              <w:top w:val="single" w:sz="8" w:color="0000FF"/>
            </w:tcBorders>
            <w:gridSpan w:val="7"/>
          </w:tcPr>
          <w:p>
            <w:pPr>
              <w:spacing w:after="0" w:line="129" w:lineRule="exact"/>
              <w:rPr>
                <w:sz w:val="20"/>
                <w:szCs w:val="20"/>
                <w:color w:val="auto"/>
              </w:rPr>
            </w:pPr>
            <w:r>
              <w:rPr>
                <w:rFonts w:ascii="Arial" w:cs="Arial" w:eastAsia="Arial" w:hAnsi="Arial"/>
                <w:sz w:val="14"/>
                <w:szCs w:val="14"/>
                <w:color w:val="0000FF"/>
              </w:rPr>
              <w:t>April 10, 2025</w:t>
            </w:r>
            <w:r>
              <w:rPr>
                <w:rFonts w:ascii="Arial" w:cs="Arial" w:eastAsia="Arial" w:hAnsi="Arial"/>
                <w:sz w:val="14"/>
                <w:szCs w:val="14"/>
                <w:color w:val="000000"/>
              </w:rPr>
              <w:t>.</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9"/>
        </w:trPr>
        <w:tc>
          <w:tcPr>
            <w:tcW w:w="880" w:type="dxa"/>
            <w:vAlign w:val="bottom"/>
          </w:tcPr>
          <w:p>
            <w:pPr>
              <w:jc w:val="center"/>
              <w:ind w:right="150"/>
              <w:spacing w:after="0"/>
              <w:rPr>
                <w:sz w:val="20"/>
                <w:szCs w:val="20"/>
                <w:color w:val="auto"/>
              </w:rPr>
            </w:pPr>
            <w:r>
              <w:rPr>
                <w:rFonts w:ascii="Arial" w:cs="Arial" w:eastAsia="Arial" w:hAnsi="Arial"/>
                <w:sz w:val="14"/>
                <w:szCs w:val="14"/>
                <w:color w:val="auto"/>
              </w:rPr>
              <w:t>31.1*</w:t>
            </w:r>
          </w:p>
        </w:tc>
        <w:tc>
          <w:tcPr>
            <w:tcW w:w="6100" w:type="dxa"/>
            <w:vAlign w:val="bottom"/>
            <w:gridSpan w:val="8"/>
          </w:tcPr>
          <w:p>
            <w:pPr>
              <w:spacing w:after="0"/>
              <w:rPr>
                <w:sz w:val="20"/>
                <w:szCs w:val="20"/>
                <w:color w:val="auto"/>
              </w:rPr>
            </w:pPr>
            <w:r>
              <w:rPr>
                <w:rFonts w:ascii="Arial" w:cs="Arial" w:eastAsia="Arial" w:hAnsi="Arial"/>
                <w:sz w:val="14"/>
                <w:szCs w:val="14"/>
                <w:color w:val="0000FF"/>
              </w:rPr>
              <w:t>Certification of the Principal Executive and Financial Officer, pursuant to Rules 13a-14(a) and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28"/>
        </w:trPr>
        <w:tc>
          <w:tcPr>
            <w:tcW w:w="880" w:type="dxa"/>
            <w:vAlign w:val="bottom"/>
          </w:tcPr>
          <w:p>
            <w:pPr>
              <w:spacing w:after="0"/>
              <w:rPr>
                <w:sz w:val="11"/>
                <w:szCs w:val="11"/>
                <w:color w:val="auto"/>
              </w:rPr>
            </w:pPr>
          </w:p>
        </w:tc>
        <w:tc>
          <w:tcPr>
            <w:tcW w:w="5920" w:type="dxa"/>
            <w:vAlign w:val="bottom"/>
            <w:tcBorders>
              <w:top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15d-14(a) under the Exchange Act, as adopted pursuant to Section 302 of the Sarbanes-</w:t>
            </w:r>
          </w:p>
        </w:tc>
        <w:tc>
          <w:tcPr>
            <w:tcW w:w="18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29"/>
        </w:trPr>
        <w:tc>
          <w:tcPr>
            <w:tcW w:w="880" w:type="dxa"/>
            <w:vAlign w:val="bottom"/>
          </w:tcPr>
          <w:p>
            <w:pPr>
              <w:spacing w:after="0"/>
              <w:rPr>
                <w:sz w:val="11"/>
                <w:szCs w:val="11"/>
                <w:color w:val="auto"/>
              </w:rPr>
            </w:pPr>
          </w:p>
        </w:tc>
        <w:tc>
          <w:tcPr>
            <w:tcW w:w="5660" w:type="dxa"/>
            <w:vAlign w:val="bottom"/>
            <w:tcBorders>
              <w:top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Oxley Act of 2002.</w:t>
            </w:r>
          </w:p>
        </w:tc>
        <w:tc>
          <w:tcPr>
            <w:tcW w:w="100" w:type="dxa"/>
            <w:vAlign w:val="bottom"/>
          </w:tcPr>
          <w:p>
            <w:pPr>
              <w:spacing w:after="0"/>
              <w:rPr>
                <w:sz w:val="11"/>
                <w:szCs w:val="11"/>
                <w:color w:val="auto"/>
              </w:rPr>
            </w:pPr>
          </w:p>
        </w:tc>
        <w:tc>
          <w:tcPr>
            <w:tcW w:w="340" w:type="dxa"/>
            <w:vAlign w:val="bottom"/>
            <w:gridSpan w:val="3"/>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9"/>
        </w:trPr>
        <w:tc>
          <w:tcPr>
            <w:tcW w:w="880" w:type="dxa"/>
            <w:vAlign w:val="bottom"/>
          </w:tcPr>
          <w:p>
            <w:pPr>
              <w:jc w:val="center"/>
              <w:ind w:right="150"/>
              <w:spacing w:after="0"/>
              <w:rPr>
                <w:sz w:val="20"/>
                <w:szCs w:val="20"/>
                <w:color w:val="auto"/>
              </w:rPr>
            </w:pPr>
            <w:r>
              <w:rPr>
                <w:rFonts w:ascii="Arial" w:cs="Arial" w:eastAsia="Arial" w:hAnsi="Arial"/>
                <w:sz w:val="14"/>
                <w:szCs w:val="14"/>
                <w:color w:val="auto"/>
                <w:w w:val="99"/>
              </w:rPr>
              <w:t>32.1**</w:t>
            </w:r>
          </w:p>
        </w:tc>
        <w:tc>
          <w:tcPr>
            <w:tcW w:w="6100" w:type="dxa"/>
            <w:vAlign w:val="bottom"/>
            <w:gridSpan w:val="8"/>
          </w:tcPr>
          <w:p>
            <w:pPr>
              <w:spacing w:after="0"/>
              <w:rPr>
                <w:sz w:val="20"/>
                <w:szCs w:val="20"/>
                <w:color w:val="auto"/>
              </w:rPr>
            </w:pPr>
            <w:r>
              <w:rPr>
                <w:rFonts w:ascii="Arial" w:cs="Arial" w:eastAsia="Arial" w:hAnsi="Arial"/>
                <w:sz w:val="14"/>
                <w:szCs w:val="14"/>
                <w:color w:val="0000FF"/>
              </w:rPr>
              <w:t>Certification of the Principal Executive and Financial Officer, pursuant to 18 U.S.C. Section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29"/>
        </w:trPr>
        <w:tc>
          <w:tcPr>
            <w:tcW w:w="880" w:type="dxa"/>
            <w:vAlign w:val="bottom"/>
          </w:tcPr>
          <w:p>
            <w:pPr>
              <w:spacing w:after="0"/>
              <w:rPr>
                <w:sz w:val="11"/>
                <w:szCs w:val="11"/>
                <w:color w:val="auto"/>
              </w:rPr>
            </w:pPr>
          </w:p>
        </w:tc>
        <w:tc>
          <w:tcPr>
            <w:tcW w:w="4960" w:type="dxa"/>
            <w:vAlign w:val="bottom"/>
            <w:tcBorders>
              <w:top w:val="single" w:sz="8" w:color="0000FF"/>
              <w:bottom w:val="single" w:sz="8" w:color="0000FF"/>
            </w:tcBorders>
            <w:gridSpan w:val="3"/>
          </w:tcPr>
          <w:p>
            <w:pPr>
              <w:spacing w:after="0" w:line="129" w:lineRule="exact"/>
              <w:rPr>
                <w:sz w:val="20"/>
                <w:szCs w:val="20"/>
                <w:color w:val="auto"/>
              </w:rPr>
            </w:pPr>
            <w:r>
              <w:rPr>
                <w:rFonts w:ascii="Arial" w:cs="Arial" w:eastAsia="Arial" w:hAnsi="Arial"/>
                <w:sz w:val="14"/>
                <w:szCs w:val="14"/>
                <w:color w:val="0000FF"/>
              </w:rPr>
              <w:t>1350, as adopted pursuant to Section 906 of the Sarbanes-Oxley Act of 2002.</w:t>
            </w:r>
          </w:p>
        </w:tc>
        <w:tc>
          <w:tcPr>
            <w:tcW w:w="800" w:type="dxa"/>
            <w:vAlign w:val="bottom"/>
            <w:tcBorders>
              <w:top w:val="single" w:sz="8" w:color="0000FF"/>
            </w:tcBorders>
            <w:gridSpan w:val="2"/>
          </w:tcPr>
          <w:p>
            <w:pPr>
              <w:spacing w:after="0"/>
              <w:rPr>
                <w:sz w:val="11"/>
                <w:szCs w:val="11"/>
                <w:color w:val="auto"/>
              </w:rPr>
            </w:pPr>
          </w:p>
        </w:tc>
        <w:tc>
          <w:tcPr>
            <w:tcW w:w="340" w:type="dxa"/>
            <w:vAlign w:val="bottom"/>
            <w:gridSpan w:val="3"/>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bl>
    <w:p>
      <w:pPr>
        <w:spacing w:after="0" w:line="18"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80"/>
        <w:spacing w:after="0"/>
        <w:rPr>
          <w:sz w:val="20"/>
          <w:szCs w:val="20"/>
          <w:color w:val="auto"/>
        </w:rPr>
      </w:pPr>
      <w:r>
        <w:rPr>
          <w:rFonts w:ascii="Arial" w:cs="Arial" w:eastAsia="Arial" w:hAnsi="Arial"/>
          <w:sz w:val="14"/>
          <w:szCs w:val="14"/>
          <w:color w:val="auto"/>
        </w:rPr>
        <w:t>101.INS*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101.SCH*</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101.CAL*</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101.DEF*</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101.LAB*</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101.PRE*</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104*</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Inline XBRL Instance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Schema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Calculation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Definition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Labels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Presentation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Certain confidential information contained in this exhibit has been omitted because it is both (i)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not material and (ii) is the type that the Registrant treats as private or confidential.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Indicates management contract or compensatory plan, contract or agreement.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42" w:lineRule="exact"/>
        <w:rPr>
          <w:sz w:val="20"/>
          <w:szCs w:val="20"/>
          <w:color w:val="auto"/>
        </w:rPr>
      </w:pPr>
    </w:p>
    <w:p>
      <w:pPr>
        <w:ind w:right="4260"/>
        <w:spacing w:after="0" w:line="231" w:lineRule="auto"/>
        <w:rPr>
          <w:sz w:val="20"/>
          <w:szCs w:val="20"/>
          <w:color w:val="auto"/>
        </w:rPr>
      </w:pPr>
      <w:r>
        <w:rPr>
          <w:rFonts w:ascii="Arial" w:cs="Arial" w:eastAsia="Arial" w:hAnsi="Arial"/>
          <w:sz w:val="14"/>
          <w:szCs w:val="14"/>
          <w:color w:val="auto"/>
        </w:rPr>
        <w:t>Furnished herewith. The certifications attached as Exhibits 32.1 and 32.2 that accompany this Quarterly Report on Form 10-Q are deemed furnished and not filed with the SEC and are not</w:t>
      </w:r>
    </w:p>
    <w:p>
      <w:pPr>
        <w:spacing w:after="0" w:line="1" w:lineRule="exact"/>
        <w:rPr>
          <w:sz w:val="20"/>
          <w:szCs w:val="20"/>
          <w:color w:val="auto"/>
        </w:rPr>
      </w:pPr>
    </w:p>
    <w:p>
      <w:pPr>
        <w:jc w:val="both"/>
        <w:ind w:right="4300"/>
        <w:spacing w:after="0" w:line="211" w:lineRule="auto"/>
        <w:rPr>
          <w:sz w:val="20"/>
          <w:szCs w:val="20"/>
          <w:color w:val="auto"/>
        </w:rPr>
      </w:pPr>
      <w:r>
        <w:rPr>
          <w:rFonts w:ascii="Arial" w:cs="Arial" w:eastAsia="Arial" w:hAnsi="Arial"/>
          <w:sz w:val="14"/>
          <w:szCs w:val="14"/>
          <w:color w:val="auto"/>
        </w:rPr>
        <w:t>to be incorporated by reference into any filing of the Company under the Securities Act or the Exchange Act, whether made before or after the date of this Quarterly Report on Form 10-Q,</w:t>
      </w:r>
    </w:p>
    <w:p>
      <w:pPr>
        <w:spacing w:after="0"/>
        <w:rPr>
          <w:sz w:val="20"/>
          <w:szCs w:val="20"/>
          <w:color w:val="auto"/>
        </w:rPr>
      </w:pPr>
      <w:r>
        <w:rPr>
          <w:rFonts w:ascii="Arial" w:cs="Arial" w:eastAsia="Arial" w:hAnsi="Arial"/>
          <w:sz w:val="14"/>
          <w:szCs w:val="14"/>
          <w:color w:val="auto"/>
        </w:rPr>
        <w:t>irrespective of any general incorporation language contained in such filing.</w:t>
      </w:r>
    </w:p>
    <w:p>
      <w:pPr>
        <w:spacing w:after="0" w:line="200" w:lineRule="exact"/>
        <w:rPr>
          <w:sz w:val="20"/>
          <w:szCs w:val="20"/>
          <w:color w:val="auto"/>
        </w:rPr>
      </w:pPr>
    </w:p>
    <w:p>
      <w:pPr>
        <w:sectPr>
          <w:pgSz w:w="11900" w:h="16838" w:orient="portrait"/>
          <w:cols w:equalWidth="0" w:num="2">
            <w:col w:w="780" w:space="240"/>
            <w:col w:w="10220"/>
          </w:cols>
          <w:pgMar w:left="320" w:top="125" w:right="339" w:bottom="1440" w:gutter="0" w:footer="0" w:header="0"/>
          <w:type w:val="continuous"/>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2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00" w:type="dxa"/>
            <w:vAlign w:val="bottom"/>
          </w:tcPr>
          <w:p>
            <w:pPr>
              <w:spacing w:after="0"/>
              <w:rPr>
                <w:sz w:val="19"/>
                <w:szCs w:val="19"/>
                <w:color w:val="auto"/>
              </w:rPr>
            </w:pPr>
          </w:p>
        </w:tc>
        <w:tc>
          <w:tcPr>
            <w:tcW w:w="7920" w:type="dxa"/>
            <w:vAlign w:val="bottom"/>
            <w:gridSpan w:val="2"/>
          </w:tcPr>
          <w:p>
            <w:pPr>
              <w:ind w:left="1760"/>
              <w:spacing w:after="0"/>
              <w:rPr>
                <w:sz w:val="20"/>
                <w:szCs w:val="20"/>
                <w:color w:val="auto"/>
              </w:rPr>
            </w:pPr>
            <w:r>
              <w:rPr>
                <w:rFonts w:ascii="Arial" w:cs="Arial" w:eastAsia="Arial" w:hAnsi="Arial"/>
                <w:sz w:val="16"/>
                <w:szCs w:val="16"/>
                <w:b w:val="1"/>
                <w:bCs w:val="1"/>
                <w:color w:val="auto"/>
              </w:rPr>
              <w:t>MARQETA, INC.</w:t>
            </w:r>
          </w:p>
        </w:tc>
      </w:tr>
      <w:tr>
        <w:trPr>
          <w:trHeight w:val="480"/>
        </w:trPr>
        <w:tc>
          <w:tcPr>
            <w:tcW w:w="3300" w:type="dxa"/>
            <w:vAlign w:val="bottom"/>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August 6, 2025</w:t>
            </w:r>
          </w:p>
        </w:tc>
        <w:tc>
          <w:tcPr>
            <w:tcW w:w="2940" w:type="dxa"/>
            <w:vAlign w:val="bottom"/>
          </w:tcPr>
          <w:p>
            <w:pPr>
              <w:ind w:left="1760"/>
              <w:spacing w:after="0"/>
              <w:rPr>
                <w:sz w:val="20"/>
                <w:szCs w:val="20"/>
                <w:color w:val="auto"/>
              </w:rPr>
            </w:pPr>
            <w:r>
              <w:rPr>
                <w:rFonts w:ascii="Arial" w:cs="Arial" w:eastAsia="Arial" w:hAnsi="Arial"/>
                <w:sz w:val="16"/>
                <w:szCs w:val="16"/>
                <w:b w:val="1"/>
                <w:bCs w:val="1"/>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(Mike) Milotich</w:t>
            </w:r>
          </w:p>
        </w:tc>
      </w:tr>
      <w:tr>
        <w:trPr>
          <w:trHeight w:val="209"/>
        </w:trPr>
        <w:tc>
          <w:tcPr>
            <w:tcW w:w="3300" w:type="dxa"/>
            <w:vAlign w:val="bottom"/>
          </w:tcPr>
          <w:p>
            <w:pPr>
              <w:spacing w:after="0"/>
              <w:rPr>
                <w:sz w:val="18"/>
                <w:szCs w:val="18"/>
                <w:color w:val="auto"/>
              </w:rPr>
            </w:pPr>
          </w:p>
        </w:tc>
        <w:tc>
          <w:tcPr>
            <w:tcW w:w="2940" w:type="dxa"/>
            <w:vAlign w:val="bottom"/>
          </w:tcPr>
          <w:p>
            <w:pPr>
              <w:ind w:left="1760"/>
              <w:spacing w:after="0"/>
              <w:rPr>
                <w:sz w:val="20"/>
                <w:szCs w:val="20"/>
                <w:color w:val="auto"/>
              </w:rPr>
            </w:pPr>
            <w:r>
              <w:rPr>
                <w:rFonts w:ascii="Arial" w:cs="Arial" w:eastAsia="Arial" w:hAnsi="Arial"/>
                <w:sz w:val="16"/>
                <w:szCs w:val="16"/>
                <w:b w:val="1"/>
                <w:bCs w:val="1"/>
                <w:color w:val="auto"/>
              </w:rPr>
              <w:t>Name:</w:t>
            </w:r>
          </w:p>
        </w:tc>
        <w:tc>
          <w:tcPr>
            <w:tcW w:w="4980" w:type="dxa"/>
            <w:vAlign w:val="bottom"/>
          </w:tcPr>
          <w:p>
            <w:pPr>
              <w:ind w:left="20"/>
              <w:spacing w:after="0"/>
              <w:rPr>
                <w:sz w:val="20"/>
                <w:szCs w:val="20"/>
                <w:color w:val="auto"/>
              </w:rPr>
            </w:pPr>
            <w:r>
              <w:rPr>
                <w:rFonts w:ascii="Arial" w:cs="Arial" w:eastAsia="Arial" w:hAnsi="Arial"/>
                <w:sz w:val="16"/>
                <w:szCs w:val="16"/>
                <w:color w:val="auto"/>
              </w:rPr>
              <w:t>Michael (Mike) Milotich</w:t>
            </w:r>
          </w:p>
        </w:tc>
      </w:tr>
      <w:tr>
        <w:trPr>
          <w:trHeight w:val="175"/>
        </w:trPr>
        <w:tc>
          <w:tcPr>
            <w:tcW w:w="33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980" w:type="dxa"/>
            <w:vAlign w:val="bottom"/>
          </w:tcPr>
          <w:p>
            <w:pPr>
              <w:ind w:left="20"/>
              <w:spacing w:after="0" w:line="175" w:lineRule="exact"/>
              <w:rPr>
                <w:sz w:val="20"/>
                <w:szCs w:val="20"/>
                <w:color w:val="auto"/>
              </w:rPr>
            </w:pPr>
            <w:r>
              <w:rPr>
                <w:rFonts w:ascii="Arial" w:cs="Arial" w:eastAsia="Arial" w:hAnsi="Arial"/>
                <w:sz w:val="16"/>
                <w:szCs w:val="16"/>
                <w:color w:val="auto"/>
              </w:rPr>
              <w:t>Interim Chief Executive Officer &amp; Chief Financial Officer (Principal</w:t>
            </w:r>
          </w:p>
        </w:tc>
      </w:tr>
      <w:tr>
        <w:trPr>
          <w:trHeight w:val="250"/>
        </w:trPr>
        <w:tc>
          <w:tcPr>
            <w:tcW w:w="3300" w:type="dxa"/>
            <w:vAlign w:val="bottom"/>
          </w:tcPr>
          <w:p>
            <w:pPr>
              <w:spacing w:after="0"/>
              <w:rPr>
                <w:sz w:val="21"/>
                <w:szCs w:val="21"/>
                <w:color w:val="auto"/>
              </w:rPr>
            </w:pPr>
          </w:p>
        </w:tc>
        <w:tc>
          <w:tcPr>
            <w:tcW w:w="2940" w:type="dxa"/>
            <w:vAlign w:val="bottom"/>
          </w:tcPr>
          <w:p>
            <w:pPr>
              <w:ind w:left="1760"/>
              <w:spacing w:after="0"/>
              <w:rPr>
                <w:sz w:val="20"/>
                <w:szCs w:val="20"/>
                <w:color w:val="auto"/>
              </w:rPr>
            </w:pPr>
            <w:r>
              <w:rPr>
                <w:rFonts w:ascii="Arial" w:cs="Arial" w:eastAsia="Arial" w:hAnsi="Arial"/>
                <w:sz w:val="16"/>
                <w:szCs w:val="16"/>
                <w:b w:val="1"/>
                <w:bCs w:val="1"/>
                <w:color w:val="auto"/>
              </w:rPr>
              <w:t>Title:</w:t>
            </w:r>
          </w:p>
        </w:tc>
        <w:tc>
          <w:tcPr>
            <w:tcW w:w="4980" w:type="dxa"/>
            <w:vAlign w:val="bottom"/>
          </w:tcPr>
          <w:p>
            <w:pPr>
              <w:ind w:left="20"/>
              <w:spacing w:after="0"/>
              <w:rPr>
                <w:sz w:val="20"/>
                <w:szCs w:val="20"/>
                <w:color w:val="auto"/>
              </w:rPr>
            </w:pPr>
            <w:r>
              <w:rPr>
                <w:rFonts w:ascii="Arial" w:cs="Arial" w:eastAsia="Arial" w:hAnsi="Arial"/>
                <w:sz w:val="16"/>
                <w:szCs w:val="16"/>
                <w:color w:val="auto"/>
              </w:rPr>
              <w:t>Executive,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FOURTH AMENDMENT TO LEASE</w:t>
      </w:r>
    </w:p>
    <w:p>
      <w:pPr>
        <w:spacing w:after="0" w:line="273" w:lineRule="exact"/>
        <w:rPr>
          <w:sz w:val="20"/>
          <w:szCs w:val="20"/>
          <w:color w:val="auto"/>
        </w:rPr>
      </w:pPr>
    </w:p>
    <w:p>
      <w:pPr>
        <w:ind w:right="320" w:firstLine="647"/>
        <w:spacing w:after="0" w:line="312" w:lineRule="auto"/>
        <w:rPr>
          <w:sz w:val="20"/>
          <w:szCs w:val="20"/>
          <w:color w:val="auto"/>
        </w:rPr>
      </w:pPr>
      <w:r>
        <w:rPr>
          <w:rFonts w:ascii="Times New Roman" w:cs="Times New Roman" w:eastAsia="Times New Roman" w:hAnsi="Times New Roman"/>
          <w:sz w:val="16"/>
          <w:szCs w:val="16"/>
          <w:color w:val="auto"/>
        </w:rPr>
        <w:t>This FOURTH AMENDMENT TO LEASE (this "</w:t>
      </w:r>
      <w:r>
        <w:rPr>
          <w:rFonts w:ascii="Times New Roman" w:cs="Times New Roman" w:eastAsia="Times New Roman" w:hAnsi="Times New Roman"/>
          <w:sz w:val="16"/>
          <w:szCs w:val="16"/>
          <w:b w:val="1"/>
          <w:bCs w:val="1"/>
          <w:color w:val="auto"/>
        </w:rPr>
        <w:t>Amendment</w:t>
      </w:r>
      <w:r>
        <w:rPr>
          <w:rFonts w:ascii="Times New Roman" w:cs="Times New Roman" w:eastAsia="Times New Roman" w:hAnsi="Times New Roman"/>
          <w:sz w:val="16"/>
          <w:szCs w:val="16"/>
          <w:color w:val="auto"/>
        </w:rPr>
        <w:t xml:space="preserve">") is made and entered into as of April 10, 2025, by and between </w:t>
      </w:r>
      <w:r>
        <w:rPr>
          <w:rFonts w:ascii="Times New Roman" w:cs="Times New Roman" w:eastAsia="Times New Roman" w:hAnsi="Times New Roman"/>
          <w:sz w:val="17"/>
          <w:szCs w:val="17"/>
          <w:color w:val="auto"/>
        </w:rPr>
        <w:t>180 GRAND, LLC,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Delaware limited liability company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Landlord</w:t>
      </w:r>
      <w:r>
        <w:rPr>
          <w:rFonts w:ascii="Times New Roman" w:cs="Times New Roman" w:eastAsia="Times New Roman" w:hAnsi="Times New Roman"/>
          <w:sz w:val="16"/>
          <w:szCs w:val="16"/>
          <w:color w:val="auto"/>
        </w:rPr>
        <w:t>"), and MARQETA, INC., a Delaware corporation ("</w:t>
      </w:r>
      <w:r>
        <w:rPr>
          <w:rFonts w:ascii="Times New Roman" w:cs="Times New Roman" w:eastAsia="Times New Roman" w:hAnsi="Times New Roman"/>
          <w:sz w:val="16"/>
          <w:szCs w:val="16"/>
          <w:b w:val="1"/>
          <w:bCs w:val="1"/>
          <w:color w:val="auto"/>
        </w:rPr>
        <w:t>Tenant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R E C I T A L S</w:t>
      </w:r>
      <w:r>
        <w:rPr>
          <w:rFonts w:ascii="Times New Roman" w:cs="Times New Roman" w:eastAsia="Times New Roman" w:hAnsi="Times New Roman"/>
          <w:sz w:val="16"/>
          <w:szCs w:val="16"/>
          <w:color w:val="auto"/>
        </w:rPr>
        <w:t>:</w:t>
      </w:r>
    </w:p>
    <w:p>
      <w:pPr>
        <w:spacing w:after="0" w:line="275" w:lineRule="exact"/>
        <w:rPr>
          <w:sz w:val="20"/>
          <w:szCs w:val="20"/>
          <w:color w:val="auto"/>
        </w:rPr>
      </w:pPr>
    </w:p>
    <w:p>
      <w:pPr>
        <w:jc w:val="both"/>
        <w:ind w:right="320" w:firstLine="655"/>
        <w:spacing w:after="0" w:line="254" w:lineRule="auto"/>
        <w:tabs>
          <w:tab w:leader="none" w:pos="129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Landlord (as successor-in-interest to Oakland Grand Owner LLC, prior thereto 180 Grand Owner LLC, and prior thereto, MACH II 180 LLC) and Tenant are parties to that certain Office Building Lease dated as of March 1, 2016 (the "</w:t>
      </w:r>
      <w:r>
        <w:rPr>
          <w:rFonts w:ascii="Times New Roman" w:cs="Times New Roman" w:eastAsia="Times New Roman" w:hAnsi="Times New Roman"/>
          <w:sz w:val="16"/>
          <w:szCs w:val="16"/>
          <w:b w:val="1"/>
          <w:bCs w:val="1"/>
          <w:color w:val="auto"/>
        </w:rPr>
        <w:t>Original Lease</w:t>
      </w:r>
      <w:r>
        <w:rPr>
          <w:rFonts w:ascii="Times New Roman" w:cs="Times New Roman" w:eastAsia="Times New Roman" w:hAnsi="Times New Roman"/>
          <w:sz w:val="16"/>
          <w:szCs w:val="16"/>
          <w:color w:val="auto"/>
        </w:rPr>
        <w:t>"), as amended by that certain First Amendment to Office Building Lease dated as of November 8, 2017 (the "</w:t>
      </w:r>
      <w:r>
        <w:rPr>
          <w:rFonts w:ascii="Times New Roman" w:cs="Times New Roman" w:eastAsia="Times New Roman" w:hAnsi="Times New Roman"/>
          <w:sz w:val="16"/>
          <w:szCs w:val="16"/>
          <w:b w:val="1"/>
          <w:bCs w:val="1"/>
          <w:color w:val="auto"/>
        </w:rPr>
        <w:t>First Amendment</w:t>
      </w:r>
      <w:r>
        <w:rPr>
          <w:rFonts w:ascii="Times New Roman" w:cs="Times New Roman" w:eastAsia="Times New Roman" w:hAnsi="Times New Roman"/>
          <w:sz w:val="16"/>
          <w:szCs w:val="16"/>
          <w:color w:val="auto"/>
        </w:rPr>
        <w:t>"), as amended by that certain Second Amendment to Office Building Lease dated as of March 14, 2019 (the "</w:t>
      </w:r>
      <w:r>
        <w:rPr>
          <w:rFonts w:ascii="Times New Roman" w:cs="Times New Roman" w:eastAsia="Times New Roman" w:hAnsi="Times New Roman"/>
          <w:sz w:val="16"/>
          <w:szCs w:val="16"/>
          <w:b w:val="1"/>
          <w:bCs w:val="1"/>
          <w:color w:val="auto"/>
        </w:rPr>
        <w:t>Second Amendment</w:t>
      </w:r>
      <w:r>
        <w:rPr>
          <w:rFonts w:ascii="Times New Roman" w:cs="Times New Roman" w:eastAsia="Times New Roman" w:hAnsi="Times New Roman"/>
          <w:sz w:val="16"/>
          <w:szCs w:val="16"/>
          <w:color w:val="auto"/>
        </w:rPr>
        <w:t>"), as amended by that certain First Amendment to Office Building Lease dated as of November 7, 2019 (the "</w:t>
      </w:r>
      <w:r>
        <w:rPr>
          <w:rFonts w:ascii="Times New Roman" w:cs="Times New Roman" w:eastAsia="Times New Roman" w:hAnsi="Times New Roman"/>
          <w:sz w:val="16"/>
          <w:szCs w:val="16"/>
          <w:b w:val="1"/>
          <w:bCs w:val="1"/>
          <w:color w:val="auto"/>
        </w:rPr>
        <w:t>Third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Amendment</w:t>
      </w:r>
      <w:r>
        <w:rPr>
          <w:rFonts w:ascii="Times New Roman" w:cs="Times New Roman" w:eastAsia="Times New Roman" w:hAnsi="Times New Roman"/>
          <w:sz w:val="16"/>
          <w:szCs w:val="16"/>
          <w:color w:val="auto"/>
        </w:rPr>
        <w:t>"), whereby Landlord leases to Tenant certain premises (collectively, the "</w:t>
      </w:r>
      <w:r>
        <w:rPr>
          <w:rFonts w:ascii="Times New Roman" w:cs="Times New Roman" w:eastAsia="Times New Roman" w:hAnsi="Times New Roman"/>
          <w:sz w:val="16"/>
          <w:szCs w:val="16"/>
          <w:b w:val="1"/>
          <w:bCs w:val="1"/>
          <w:color w:val="auto"/>
        </w:rPr>
        <w:t>Existing Premises</w:t>
      </w:r>
      <w:r>
        <w:rPr>
          <w:rFonts w:ascii="Times New Roman" w:cs="Times New Roman" w:eastAsia="Times New Roman" w:hAnsi="Times New Roman"/>
          <w:sz w:val="16"/>
          <w:szCs w:val="16"/>
          <w:color w:val="auto"/>
        </w:rPr>
        <w:t>") consisting of</w:t>
      </w:r>
    </w:p>
    <w:p>
      <w:pPr>
        <w:spacing w:after="0" w:line="2" w:lineRule="exact"/>
        <w:rPr>
          <w:rFonts w:ascii="Times New Roman" w:cs="Times New Roman" w:eastAsia="Times New Roman" w:hAnsi="Times New Roman"/>
          <w:sz w:val="16"/>
          <w:szCs w:val="16"/>
          <w:color w:val="auto"/>
        </w:rPr>
      </w:pPr>
    </w:p>
    <w:p>
      <w:pPr>
        <w:ind w:left="200" w:hanging="192"/>
        <w:spacing w:after="0" w:line="214" w:lineRule="auto"/>
        <w:tabs>
          <w:tab w:leader="none" w:pos="2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18,744 rentable square feet of space (the "</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Floor Premises</w:t>
      </w:r>
      <w:r>
        <w:rPr>
          <w:rFonts w:ascii="Times New Roman" w:cs="Times New Roman" w:eastAsia="Times New Roman" w:hAnsi="Times New Roman"/>
          <w:sz w:val="16"/>
          <w:szCs w:val="16"/>
          <w:color w:val="auto"/>
        </w:rPr>
        <w:t>") consisting of the entire fourth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floor,</w:t>
      </w:r>
    </w:p>
    <w:p>
      <w:pPr>
        <w:ind w:left="240" w:hanging="232"/>
        <w:spacing w:after="0" w:line="187"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18,774 rentable square feet of space (the "</w:t>
      </w: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Floor Premises</w:t>
      </w:r>
      <w:r>
        <w:rPr>
          <w:rFonts w:ascii="Times New Roman" w:cs="Times New Roman" w:eastAsia="Times New Roman" w:hAnsi="Times New Roman"/>
          <w:sz w:val="16"/>
          <w:szCs w:val="16"/>
          <w:color w:val="auto"/>
        </w:rPr>
        <w:t>") consisting of the entire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floor,</w:t>
      </w:r>
    </w:p>
    <w:p>
      <w:pPr>
        <w:ind w:left="300" w:hanging="292"/>
        <w:spacing w:after="0" w:line="201" w:lineRule="auto"/>
        <w:tabs>
          <w:tab w:leader="none" w:pos="3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18,967 rentable square feet of space (the "</w:t>
      </w: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Floor Premises</w:t>
      </w:r>
      <w:r>
        <w:rPr>
          <w:rFonts w:ascii="Times New Roman" w:cs="Times New Roman" w:eastAsia="Times New Roman" w:hAnsi="Times New Roman"/>
          <w:sz w:val="16"/>
          <w:szCs w:val="16"/>
          <w:color w:val="auto"/>
        </w:rPr>
        <w:t>") consisting of the entire sixth (6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floor, and</w:t>
      </w:r>
    </w:p>
    <w:p>
      <w:pPr>
        <w:jc w:val="both"/>
        <w:ind w:right="320" w:firstLine="8"/>
        <w:spacing w:after="0" w:line="237" w:lineRule="auto"/>
        <w:tabs>
          <w:tab w:leader="none" w:pos="63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6,799 rentable square feet of space (the "</w:t>
      </w: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Floor Premises</w:t>
      </w:r>
      <w:r>
        <w:rPr>
          <w:rFonts w:ascii="Times New Roman" w:cs="Times New Roman" w:eastAsia="Times New Roman" w:hAnsi="Times New Roman"/>
          <w:sz w:val="16"/>
          <w:szCs w:val="16"/>
          <w:color w:val="auto"/>
        </w:rPr>
        <w:t>") designated as Suites 700 and 725 and located on the seventh (7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floor of that certain building located at 180 Grand Avenue, Oakland, California (the "</w:t>
      </w:r>
      <w:r>
        <w:rPr>
          <w:rFonts w:ascii="Times New Roman" w:cs="Times New Roman" w:eastAsia="Times New Roman" w:hAnsi="Times New Roman"/>
          <w:sz w:val="16"/>
          <w:szCs w:val="16"/>
          <w:b w:val="1"/>
          <w:bCs w:val="1"/>
          <w:color w:val="auto"/>
        </w:rPr>
        <w:t>Building</w:t>
      </w:r>
      <w:r>
        <w:rPr>
          <w:rFonts w:ascii="Times New Roman" w:cs="Times New Roman" w:eastAsia="Times New Roman" w:hAnsi="Times New Roman"/>
          <w:sz w:val="16"/>
          <w:szCs w:val="16"/>
          <w:color w:val="auto"/>
        </w:rPr>
        <w:t>"), as more particularly described in the Lease. Each capitalized term when used herein shall have the same respective meaning as is given such term in the Lease, unless expressly provided otherwise in this Amendment. The Original Lease, as amended by the First Amendment, the Second Amendment and the Third Amendment is referred to herein as the "</w:t>
      </w:r>
      <w:r>
        <w:rPr>
          <w:rFonts w:ascii="Times New Roman" w:cs="Times New Roman" w:eastAsia="Times New Roman" w:hAnsi="Times New Roman"/>
          <w:sz w:val="16"/>
          <w:szCs w:val="16"/>
          <w:b w:val="1"/>
          <w:bCs w:val="1"/>
          <w:color w:val="auto"/>
        </w:rPr>
        <w:t>Lease</w:t>
      </w:r>
      <w:r>
        <w:rPr>
          <w:rFonts w:ascii="Times New Roman" w:cs="Times New Roman" w:eastAsia="Times New Roman" w:hAnsi="Times New Roman"/>
          <w:sz w:val="16"/>
          <w:szCs w:val="16"/>
          <w:color w:val="auto"/>
        </w:rPr>
        <w:t>."</w:t>
      </w:r>
    </w:p>
    <w:p>
      <w:pPr>
        <w:spacing w:after="0" w:line="24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Term of the Lease is scheduled to expire on February 28, 2026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Give-Back Term Expiration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265" w:lineRule="exact"/>
        <w:rPr>
          <w:sz w:val="20"/>
          <w:szCs w:val="20"/>
          <w:color w:val="auto"/>
        </w:rPr>
      </w:pPr>
    </w:p>
    <w:p>
      <w:pPr>
        <w:ind w:right="400" w:firstLine="655"/>
        <w:spacing w:after="0" w:line="298" w:lineRule="auto"/>
        <w:tabs>
          <w:tab w:leader="none" w:pos="129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Landlord and Tenant desire to amend the Lease to (i) reduce the Existing Premises, (ii) extend the Term of the Lease, and (iii) otherwise amend the Lease on the terms and conditions contained herein.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 G R E E M E N T</w:t>
      </w:r>
      <w:r>
        <w:rPr>
          <w:rFonts w:ascii="Times New Roman" w:cs="Times New Roman" w:eastAsia="Times New Roman" w:hAnsi="Times New Roman"/>
          <w:sz w:val="16"/>
          <w:szCs w:val="16"/>
          <w:color w:val="auto"/>
        </w:rPr>
        <w:t>:</w:t>
      </w:r>
    </w:p>
    <w:p>
      <w:pPr>
        <w:spacing w:after="0" w:line="275" w:lineRule="exact"/>
        <w:rPr>
          <w:sz w:val="20"/>
          <w:szCs w:val="20"/>
          <w:color w:val="auto"/>
        </w:rPr>
      </w:pPr>
    </w:p>
    <w:p>
      <w:pPr>
        <w:ind w:right="320" w:firstLine="647"/>
        <w:spacing w:after="0" w:line="298" w:lineRule="auto"/>
        <w:rPr>
          <w:sz w:val="20"/>
          <w:szCs w:val="20"/>
          <w:color w:val="auto"/>
        </w:rPr>
      </w:pPr>
      <w:r>
        <w:rPr>
          <w:rFonts w:ascii="Times New Roman" w:cs="Times New Roman" w:eastAsia="Times New Roman" w:hAnsi="Times New Roman"/>
          <w:sz w:val="16"/>
          <w:szCs w:val="16"/>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203" w:lineRule="exact"/>
        <w:rPr>
          <w:sz w:val="20"/>
          <w:szCs w:val="20"/>
          <w:color w:val="auto"/>
        </w:rPr>
      </w:pPr>
    </w:p>
    <w:p>
      <w:pPr>
        <w:ind w:right="340" w:firstLine="655"/>
        <w:spacing w:after="0" w:line="226" w:lineRule="auto"/>
        <w:tabs>
          <w:tab w:leader="none" w:pos="129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Give-Back Space</w:t>
      </w:r>
      <w:r>
        <w:rPr>
          <w:rFonts w:ascii="Times New Roman" w:cs="Times New Roman" w:eastAsia="Times New Roman" w:hAnsi="Times New Roman"/>
          <w:sz w:val="16"/>
          <w:szCs w:val="16"/>
          <w:color w:val="auto"/>
        </w:rPr>
        <w:t>. As used herein, the "</w:t>
      </w:r>
      <w:r>
        <w:rPr>
          <w:rFonts w:ascii="Times New Roman" w:cs="Times New Roman" w:eastAsia="Times New Roman" w:hAnsi="Times New Roman"/>
          <w:sz w:val="16"/>
          <w:szCs w:val="16"/>
          <w:b w:val="1"/>
          <w:bCs w:val="1"/>
          <w:color w:val="auto"/>
        </w:rPr>
        <w:t>Give-Back Space</w:t>
      </w:r>
      <w:r>
        <w:rPr>
          <w:rFonts w:ascii="Times New Roman" w:cs="Times New Roman" w:eastAsia="Times New Roman" w:hAnsi="Times New Roman"/>
          <w:sz w:val="16"/>
          <w:szCs w:val="16"/>
          <w:color w:val="auto"/>
        </w:rPr>
        <w:t>" shall mean, collectively, the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Premises and the 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Premises, as depicted on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attached hereto.</w:t>
      </w:r>
    </w:p>
    <w:p>
      <w:pPr>
        <w:spacing w:after="0" w:line="263" w:lineRule="exact"/>
        <w:rPr>
          <w:sz w:val="20"/>
          <w:szCs w:val="20"/>
          <w:color w:val="auto"/>
        </w:rPr>
      </w:pPr>
    </w:p>
    <w:p>
      <w:pPr>
        <w:jc w:val="both"/>
        <w:ind w:right="320" w:firstLine="1295"/>
        <w:spacing w:after="0" w:line="255"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Surrender of the Give-Back Space</w:t>
      </w:r>
      <w:r>
        <w:rPr>
          <w:rFonts w:ascii="Times New Roman" w:cs="Times New Roman" w:eastAsia="Times New Roman" w:hAnsi="Times New Roman"/>
          <w:sz w:val="16"/>
          <w:szCs w:val="16"/>
          <w:color w:val="auto"/>
        </w:rPr>
        <w:t xml:space="preserve">. Landlord and Tenant hereby acknowledge and agree that, on the Give-Back Term Expiration Date, Tenant shall quit and surrender and deliver exclusive possession to Landlord of the Give-Back Space in accordance with the terms of the Lease, as amended hereby. Notwithstanding the foregoing or anything contained in the Lease to the contrary, Landlord and Tenant hereby agree that on or prior to the Give-Back Term Expiration Date (or any earlier termination of Tenant's occupancy of the Give-Back Space) Tenant shall be required to remove and decommission the access equipment related to the Give-Back Space which is located in the stairwell, but shall otherwise surrender the Give-Back Space in its current as-is condition (reasonable wear and tear excepted) with all of the furniture, fixtures and equipment owned by Tenant and described on </w:t>
      </w:r>
      <w:r>
        <w:rPr>
          <w:rFonts w:ascii="Times New Roman" w:cs="Times New Roman" w:eastAsia="Times New Roman" w:hAnsi="Times New Roman"/>
          <w:sz w:val="16"/>
          <w:szCs w:val="16"/>
          <w:b w:val="1"/>
          <w:bCs w:val="1"/>
          <w:u w:val="single" w:color="auto"/>
          <w:color w:val="auto"/>
        </w:rPr>
        <w:t>Exhibit C</w:t>
      </w:r>
      <w:r>
        <w:rPr>
          <w:rFonts w:ascii="Times New Roman" w:cs="Times New Roman" w:eastAsia="Times New Roman" w:hAnsi="Times New Roman"/>
          <w:sz w:val="16"/>
          <w:szCs w:val="16"/>
          <w:color w:val="auto"/>
        </w:rPr>
        <w:t xml:space="preserve"> attached hereto (collectively, the "</w:t>
      </w:r>
      <w:r>
        <w:rPr>
          <w:rFonts w:ascii="Times New Roman" w:cs="Times New Roman" w:eastAsia="Times New Roman" w:hAnsi="Times New Roman"/>
          <w:sz w:val="16"/>
          <w:szCs w:val="16"/>
          <w:b w:val="1"/>
          <w:bCs w:val="1"/>
          <w:color w:val="auto"/>
        </w:rPr>
        <w:t>Give-Back Space FF&amp;E</w:t>
      </w:r>
      <w:r>
        <w:rPr>
          <w:rFonts w:ascii="Times New Roman" w:cs="Times New Roman" w:eastAsia="Times New Roman" w:hAnsi="Times New Roman"/>
          <w:sz w:val="16"/>
          <w:szCs w:val="16"/>
          <w:color w:val="auto"/>
        </w:rPr>
        <w:t xml:space="preserve">") left in the Give-Back Space in the same condition as it exists on the date hereof, reasonable wear and tear excepted. Effective as of the Give-Back Term Expiration Date, Tenant, for the purchase price of $1.00, shall gift the Give-Back Space FF&amp;E to Landlord. Tenant represents and warrants to Landlord that Tenant is the sole owner of the Give-Back Space FF&amp;E and that no other person or entity has any rights with respect thereto and that the Give-Back Space FF&amp;E is not subject to any liens or security interests. Tenant further represents and warrants that Tenant shall gift the Give-Back Space FF&amp;E to Landlord in as good condition as the condition of the Give-Back Space FF&amp;E on the date of Tenant's execution of this Amendment, reasonable wear and tear excepted. Landlord and Tenant shall execute a Bill of Sale in the form attached hereto as </w:t>
      </w:r>
      <w:r>
        <w:rPr>
          <w:rFonts w:ascii="Times New Roman" w:cs="Times New Roman" w:eastAsia="Times New Roman" w:hAnsi="Times New Roman"/>
          <w:sz w:val="16"/>
          <w:szCs w:val="16"/>
          <w:b w:val="1"/>
          <w:bCs w:val="1"/>
          <w:u w:val="single" w:color="auto"/>
          <w:color w:val="auto"/>
        </w:rPr>
        <w:t>Exhibit D</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Bill of Sale</w:t>
      </w:r>
      <w:r>
        <w:rPr>
          <w:rFonts w:ascii="Times New Roman" w:cs="Times New Roman" w:eastAsia="Times New Roman" w:hAnsi="Times New Roman"/>
          <w:sz w:val="16"/>
          <w:szCs w:val="16"/>
          <w:color w:val="auto"/>
        </w:rPr>
        <w:t xml:space="preserve">"), pursuant to which Tenant shall gift the Give-Back Space FF&amp;E to Landlord effective as of the Give-Back Term Expiration Date. For the avoidance of doubt, Tenant shall not be required to (i) remove any of the Wires, or complete any of the Wire Restoration Work (as defined in </w:t>
      </w:r>
      <w:r>
        <w:rPr>
          <w:rFonts w:ascii="Times New Roman" w:cs="Times New Roman" w:eastAsia="Times New Roman" w:hAnsi="Times New Roman"/>
          <w:sz w:val="16"/>
          <w:szCs w:val="16"/>
          <w:u w:val="single" w:color="auto"/>
          <w:color w:val="auto"/>
        </w:rPr>
        <w:t>Section 5.15(b)</w:t>
      </w:r>
      <w:r>
        <w:rPr>
          <w:rFonts w:ascii="Times New Roman" w:cs="Times New Roman" w:eastAsia="Times New Roman" w:hAnsi="Times New Roman"/>
          <w:sz w:val="16"/>
          <w:szCs w:val="16"/>
          <w:color w:val="auto"/>
        </w:rPr>
        <w:t xml:space="preserve"> of the Original Lease) with respect to the Give-Back Space, and (ii) remove the Expansion Space Work (as defined in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of the Third Amendment). In consideration for Landlord's acceptance of the foregoing modifications to the surrender conditions for the Give- Back Space, Tenant shall, on or prior to March 1, 2026, pay to Landlord the amount of Seven Hundred Sixty-One</w:t>
      </w:r>
    </w:p>
    <w:p>
      <w:pPr>
        <w:sectPr>
          <w:pgSz w:w="11900" w:h="16838" w:orient="portrait"/>
          <w:cols w:equalWidth="0" w:num="1">
            <w:col w:w="11240"/>
          </w:cols>
          <w:pgMar w:left="320" w:top="104" w:right="339" w:bottom="1440" w:gutter="0" w:footer="0" w:header="0"/>
        </w:sectPr>
      </w:pPr>
    </w:p>
    <w:bookmarkStart w:id="48" w:name="page49"/>
    <w:bookmarkEnd w:id="48"/>
    <w:p>
      <w:pPr>
        <w:jc w:val="both"/>
        <w:ind w:right="320"/>
        <w:spacing w:after="0" w:line="248" w:lineRule="auto"/>
        <w:rPr>
          <w:sz w:val="20"/>
          <w:szCs w:val="20"/>
          <w:color w:val="auto"/>
        </w:rPr>
      </w:pPr>
      <w:r>
        <w:rPr>
          <w:rFonts w:ascii="Times New Roman" w:cs="Times New Roman" w:eastAsia="Times New Roman" w:hAnsi="Times New Roman"/>
          <w:sz w:val="16"/>
          <w:szCs w:val="16"/>
          <w:color w:val="auto"/>
        </w:rPr>
        <w:t>Thousand Nine Hundred Sixty and No/100 Dollars ($761,960.00) (the "</w:t>
      </w:r>
      <w:r>
        <w:rPr>
          <w:rFonts w:ascii="Times New Roman" w:cs="Times New Roman" w:eastAsia="Times New Roman" w:hAnsi="Times New Roman"/>
          <w:sz w:val="16"/>
          <w:szCs w:val="16"/>
          <w:b w:val="1"/>
          <w:bCs w:val="1"/>
          <w:color w:val="auto"/>
        </w:rPr>
        <w:t>Surrender Payment</w:t>
      </w:r>
      <w:r>
        <w:rPr>
          <w:rFonts w:ascii="Times New Roman" w:cs="Times New Roman" w:eastAsia="Times New Roman" w:hAnsi="Times New Roman"/>
          <w:sz w:val="16"/>
          <w:szCs w:val="16"/>
          <w:color w:val="auto"/>
        </w:rPr>
        <w:t>"). Effective as of 11:59 p.m. on the Give-Back Term Expiration Date, Tenant's right to occupy the Give-Back Space shall terminate and be of no further force or effect, and Landlord and Tenant shall be relieved of their respective obligations under the Lease, as amended hereby, with respect to the Give-Back Space, except those obligations under the Lease, as amended hereby, which specifically survive the expiration or earlier termination of the Lease, as amended hereby, including, without limitation, the payment of all amounts owed by Tenant with respect to the Give-Back Space up to and including the Give-Back Term Expiration Date (including, without limitation, the Surrender Payment). Based upon the foregoing, effective as of March 1, 2026, (a) the Give-Back Space shall no longer be a part of the Existing Premises, and (b) the remaining portion of the Existing Premises (excluding the Give-Back Space) shall be deemed to contain 37,741 rentable square feet, consisting of the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Premises and the 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Premises (collectively, the "</w:t>
      </w:r>
      <w:r>
        <w:rPr>
          <w:rFonts w:ascii="Times New Roman" w:cs="Times New Roman" w:eastAsia="Times New Roman" w:hAnsi="Times New Roman"/>
          <w:sz w:val="16"/>
          <w:szCs w:val="16"/>
          <w:b w:val="1"/>
          <w:bCs w:val="1"/>
          <w:color w:val="auto"/>
        </w:rPr>
        <w:t>Remaining Premises</w:t>
      </w:r>
      <w:r>
        <w:rPr>
          <w:rFonts w:ascii="Times New Roman" w:cs="Times New Roman" w:eastAsia="Times New Roman" w:hAnsi="Times New Roman"/>
          <w:sz w:val="16"/>
          <w:szCs w:val="16"/>
          <w:color w:val="auto"/>
        </w:rPr>
        <w:t xml:space="preserve">"), as depicted on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 xml:space="preserve"> attached hereto. In the event Tenant does not timely vacate the Give-Back Space in accordance with the terms hereof, then the terms and conditions of </w:t>
      </w:r>
      <w:r>
        <w:rPr>
          <w:rFonts w:ascii="Times New Roman" w:cs="Times New Roman" w:eastAsia="Times New Roman" w:hAnsi="Times New Roman"/>
          <w:sz w:val="16"/>
          <w:szCs w:val="16"/>
          <w:u w:val="single" w:color="auto"/>
          <w:color w:val="auto"/>
        </w:rPr>
        <w:t>Section 5.15</w:t>
      </w:r>
      <w:r>
        <w:rPr>
          <w:rFonts w:ascii="Times New Roman" w:cs="Times New Roman" w:eastAsia="Times New Roman" w:hAnsi="Times New Roman"/>
          <w:sz w:val="16"/>
          <w:szCs w:val="16"/>
          <w:color w:val="auto"/>
        </w:rPr>
        <w:t xml:space="preserve"> of the Original Lease shall apply with respect thereto.</w:t>
      </w:r>
    </w:p>
    <w:p>
      <w:pPr>
        <w:spacing w:after="0" w:line="216" w:lineRule="exact"/>
        <w:rPr>
          <w:sz w:val="20"/>
          <w:szCs w:val="20"/>
          <w:color w:val="auto"/>
        </w:rPr>
      </w:pPr>
    </w:p>
    <w:p>
      <w:pPr>
        <w:jc w:val="both"/>
        <w:ind w:firstLine="656"/>
        <w:spacing w:after="0" w:line="232" w:lineRule="auto"/>
        <w:tabs>
          <w:tab w:leader="none" w:pos="81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 of Remaining Premises</w:t>
      </w:r>
      <w:r>
        <w:rPr>
          <w:rFonts w:ascii="Times New Roman" w:cs="Times New Roman" w:eastAsia="Times New Roman" w:hAnsi="Times New Roman"/>
          <w:sz w:val="16"/>
          <w:szCs w:val="16"/>
          <w:color w:val="auto"/>
        </w:rPr>
        <w:t>. Landlord and Tenant acknowledge that Tenant has been occupying the Remaining Premises pursuant to the Lease, and that Tenant shall continue to accept the Remaining Premises in its presently existing, "as is" condition and Landlord shall not be obligated to provide or pay for any improvement work or services related to the improvement of the Remaining Premises.</w:t>
      </w:r>
    </w:p>
    <w:p>
      <w:pPr>
        <w:spacing w:after="0" w:line="235" w:lineRule="exact"/>
        <w:rPr>
          <w:rFonts w:ascii="Times New Roman" w:cs="Times New Roman" w:eastAsia="Times New Roman" w:hAnsi="Times New Roman"/>
          <w:sz w:val="16"/>
          <w:szCs w:val="16"/>
          <w:color w:val="auto"/>
        </w:rPr>
      </w:pPr>
    </w:p>
    <w:p>
      <w:pPr>
        <w:ind w:right="340" w:firstLine="656"/>
        <w:spacing w:after="0" w:line="260" w:lineRule="auto"/>
        <w:tabs>
          <w:tab w:leader="none" w:pos="81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Surrender of Remaining Premises</w:t>
      </w:r>
      <w:r>
        <w:rPr>
          <w:rFonts w:ascii="Times New Roman" w:cs="Times New Roman" w:eastAsia="Times New Roman" w:hAnsi="Times New Roman"/>
          <w:sz w:val="16"/>
          <w:szCs w:val="16"/>
          <w:color w:val="auto"/>
        </w:rPr>
        <w:t>. Notwithstanding anything contained in the Lease to the contrary, Landlord and Tenant hereby agree that the surrender obligations with respect to the Remaining Premises are hereby modified as follows:</w:t>
      </w:r>
    </w:p>
    <w:p>
      <w:pPr>
        <w:jc w:val="both"/>
        <w:ind w:right="320" w:firstLine="8"/>
        <w:spacing w:after="0" w:line="257" w:lineRule="auto"/>
        <w:tabs>
          <w:tab w:leader="none" w:pos="23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Tenant shall not be required to (i) remove any of the Wires or complete the Wire Restoration Work (as defined in </w:t>
      </w:r>
      <w:r>
        <w:rPr>
          <w:rFonts w:ascii="Times New Roman" w:cs="Times New Roman" w:eastAsia="Times New Roman" w:hAnsi="Times New Roman"/>
          <w:sz w:val="16"/>
          <w:szCs w:val="16"/>
          <w:u w:val="single" w:color="auto"/>
          <w:color w:val="auto"/>
        </w:rPr>
        <w:t>Section 5.15(b)</w:t>
      </w:r>
      <w:r>
        <w:rPr>
          <w:rFonts w:ascii="Times New Roman" w:cs="Times New Roman" w:eastAsia="Times New Roman" w:hAnsi="Times New Roman"/>
          <w:sz w:val="16"/>
          <w:szCs w:val="16"/>
          <w:color w:val="auto"/>
        </w:rPr>
        <w:t xml:space="preserve"> of the Original Lease), and (ii) remove the Connecting Stairwell and Light Well (each as defined in the First Amendment); (b) the first two sentences of Section 5.15(a) of the Original Lease are hereby deleted, and Tenant shall surrender possession of the Remaining Premises in broom clean but otherwise in its as-is condition as of the date hereof, reasonable wear and tear excepted; and (c) Tenant shall have no obligation to perform any removal or restoration related to any signage, including, without limitation, any Building Top Signage existing as of the date hereof. All other terms applicable to the surrender of the Remaining Premises set forth in the Lease, as hereby amended, shall remain in effect. In consideration for Landlord's acceptance of the foregoing modifications to the surrender conditions for the Remaining Premises, Tenant shall pay to Landlord on or prior to the expiration of the Term of the Lease, or the earlier termination of this Lease, whichever occurs first, the amount of Eight Hundred Ninety Thousand and No/100 Dollars ($890,000.00).</w:t>
      </w:r>
    </w:p>
    <w:p>
      <w:pPr>
        <w:spacing w:after="0" w:line="236" w:lineRule="exact"/>
        <w:rPr>
          <w:rFonts w:ascii="Times New Roman" w:cs="Times New Roman" w:eastAsia="Times New Roman" w:hAnsi="Times New Roman"/>
          <w:sz w:val="16"/>
          <w:szCs w:val="16"/>
          <w:color w:val="auto"/>
        </w:rPr>
      </w:pPr>
    </w:p>
    <w:p>
      <w:pPr>
        <w:jc w:val="both"/>
        <w:ind w:right="320" w:firstLine="656"/>
        <w:spacing w:after="0" w:line="273" w:lineRule="auto"/>
        <w:tabs>
          <w:tab w:leader="none" w:pos="81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Extension of Term</w:t>
      </w:r>
      <w:r>
        <w:rPr>
          <w:rFonts w:ascii="Times New Roman" w:cs="Times New Roman" w:eastAsia="Times New Roman" w:hAnsi="Times New Roman"/>
          <w:sz w:val="16"/>
          <w:szCs w:val="16"/>
          <w:color w:val="auto"/>
        </w:rPr>
        <w:t>. With respect only to the Remaining Premises, the Lease Term is extended for an additional period (the "</w:t>
      </w:r>
      <w:r>
        <w:rPr>
          <w:rFonts w:ascii="Times New Roman" w:cs="Times New Roman" w:eastAsia="Times New Roman" w:hAnsi="Times New Roman"/>
          <w:sz w:val="16"/>
          <w:szCs w:val="16"/>
          <w:b w:val="1"/>
          <w:bCs w:val="1"/>
          <w:color w:val="auto"/>
        </w:rPr>
        <w:t>Extended Term</w:t>
      </w:r>
      <w:r>
        <w:rPr>
          <w:rFonts w:ascii="Times New Roman" w:cs="Times New Roman" w:eastAsia="Times New Roman" w:hAnsi="Times New Roman"/>
          <w:sz w:val="16"/>
          <w:szCs w:val="16"/>
          <w:color w:val="auto"/>
        </w:rPr>
        <w:t>") of twenty-four (24) full calendar months, commencing on March 1, 2026 and ending on February 29, 2028. During the Extended Term, all of the terms, covenants and conditions of the Lease shall be applicable, except as set forth herein.</w:t>
      </w:r>
    </w:p>
    <w:p>
      <w:pPr>
        <w:spacing w:after="0" w:line="35" w:lineRule="exact"/>
        <w:rPr>
          <w:rFonts w:ascii="Times New Roman" w:cs="Times New Roman" w:eastAsia="Times New Roman" w:hAnsi="Times New Roman"/>
          <w:sz w:val="16"/>
          <w:szCs w:val="16"/>
          <w:color w:val="auto"/>
        </w:rPr>
      </w:pPr>
    </w:p>
    <w:p>
      <w:pPr>
        <w:ind w:left="820" w:hanging="164"/>
        <w:spacing w:after="0"/>
        <w:tabs>
          <w:tab w:leader="none" w:pos="82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Base Rent</w:t>
      </w:r>
      <w:r>
        <w:rPr>
          <w:rFonts w:ascii="Times New Roman" w:cs="Times New Roman" w:eastAsia="Times New Roman" w:hAnsi="Times New Roman"/>
          <w:sz w:val="16"/>
          <w:szCs w:val="16"/>
          <w:color w:val="auto"/>
        </w:rPr>
        <w:t>. During the period from the date of this Amendment through the Give-Back Term Expiration Date, Tenant shall continue to pay Base Rent for</w:t>
      </w:r>
    </w:p>
    <w:p>
      <w:pPr>
        <w:spacing w:after="0" w:line="2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color w:val="auto"/>
        </w:rPr>
        <w:t>the Existing Premises in the amount set forth in the Lease. Effective as of March 1, 2026, and continuing through the Extended Term, Tenant shall pay Base Rent for the Remaining Premises in the amount set forth below.</w:t>
      </w:r>
    </w:p>
    <w:p>
      <w:pPr>
        <w:spacing w:after="0" w:line="268"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Period  Monthly Base Rent 03/01/2026 – 02/28/2027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$141,528.75</w:t>
            </w:r>
          </w:p>
        </w:tc>
      </w:tr>
      <w:tr>
        <w:trPr>
          <w:trHeight w:val="20"/>
        </w:trPr>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40" w:lineRule="exact"/>
        <w:rPr>
          <w:sz w:val="20"/>
          <w:szCs w:val="20"/>
          <w:color w:val="auto"/>
        </w:rPr>
      </w:pPr>
    </w:p>
    <w:p>
      <w:pPr>
        <w:ind w:left="1720"/>
        <w:spacing w:after="0"/>
        <w:tabs>
          <w:tab w:leader="none" w:pos="3500" w:val="left"/>
        </w:tabs>
        <w:rPr>
          <w:sz w:val="20"/>
          <w:szCs w:val="20"/>
          <w:color w:val="auto"/>
        </w:rPr>
      </w:pPr>
      <w:r>
        <w:rPr>
          <w:rFonts w:ascii="Times New Roman" w:cs="Times New Roman" w:eastAsia="Times New Roman" w:hAnsi="Times New Roman"/>
          <w:sz w:val="16"/>
          <w:szCs w:val="16"/>
          <w:color w:val="auto"/>
        </w:rPr>
        <w:t>03/01/2027 – 02/29/2028</w:t>
        <w:tab/>
        <w:t>$145,774.61</w:t>
      </w:r>
    </w:p>
    <w:p>
      <w:pPr>
        <w:spacing w:after="0" w:line="248" w:lineRule="exact"/>
        <w:rPr>
          <w:sz w:val="20"/>
          <w:szCs w:val="20"/>
          <w:color w:val="auto"/>
        </w:rPr>
      </w:pPr>
    </w:p>
    <w:p>
      <w:pPr>
        <w:jc w:val="both"/>
        <w:ind w:firstLine="655"/>
        <w:spacing w:after="0" w:line="221" w:lineRule="auto"/>
        <w:tabs>
          <w:tab w:leader="none" w:pos="82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Basic Operating Costs and Property Taxes</w:t>
      </w:r>
      <w:r>
        <w:rPr>
          <w:rFonts w:ascii="Times New Roman" w:cs="Times New Roman" w:eastAsia="Times New Roman" w:hAnsi="Times New Roman"/>
          <w:sz w:val="16"/>
          <w:szCs w:val="16"/>
          <w:color w:val="auto"/>
        </w:rPr>
        <w:t xml:space="preserve">. During the period from the date of this Amendment through the Give-Back Term Expiration Date, Tenant shall continue to pay Tenant's Proportionate Share of Basic Operating Costs and Property Taxes for the Existing Premises pursuant to the Lease. During the period from March 1, 2026 and continuing through the Extended Term, Tenant shall continue to pay Tenant's Proportionate Share of Basic Operating Costs and Property Taxes for the Remaining Premises pursuant to the Lease, as hereby amended, except that effective as of March 1, 2026 (i) to reflect the reduction of the Existing Premises pursuant to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above, Tenant's Proportionate Share with respect to the Remaining Premises shall be 13.55% (which amount has been calculated by dividing the rentable square footage of the Remaining Premises by the rentable square feet of the Building (i.e., 278,596 rentable square feet)), and (ii) the Base Year shall be calendar year 2026.</w:t>
      </w:r>
    </w:p>
    <w:p>
      <w:pPr>
        <w:spacing w:after="0" w:line="198" w:lineRule="exact"/>
        <w:rPr>
          <w:rFonts w:ascii="Times New Roman" w:cs="Times New Roman" w:eastAsia="Times New Roman" w:hAnsi="Times New Roman"/>
          <w:sz w:val="16"/>
          <w:szCs w:val="16"/>
          <w:color w:val="auto"/>
        </w:rPr>
      </w:pPr>
    </w:p>
    <w:p>
      <w:pPr>
        <w:jc w:val="both"/>
        <w:ind w:right="20" w:firstLine="655"/>
        <w:spacing w:after="0" w:line="232" w:lineRule="auto"/>
        <w:tabs>
          <w:tab w:leader="none" w:pos="80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to Extend</w:t>
      </w:r>
      <w:r>
        <w:rPr>
          <w:rFonts w:ascii="Times New Roman" w:cs="Times New Roman" w:eastAsia="Times New Roman" w:hAnsi="Times New Roman"/>
          <w:sz w:val="16"/>
          <w:szCs w:val="16"/>
          <w:color w:val="auto"/>
        </w:rPr>
        <w:t xml:space="preserve">. Effective as of the date hereof,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of the Original Lease is deleted in its entirety and of no further force or effect. The renewal option set forth in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of the First Amendment shall continue to apply on the terms and conditions set forth therein and shall apply to the Remaining Premises except that (i) Tenant's option to extend shall only apply to the entire Remaining Premises, (ii) the "Renewal Term" shall be for one (1) additional period of five (5) years.</w:t>
      </w:r>
    </w:p>
    <w:p>
      <w:pPr>
        <w:sectPr>
          <w:pgSz w:w="11900" w:h="16838" w:orient="portrait"/>
          <w:cols w:equalWidth="0" w:num="1">
            <w:col w:w="11240"/>
          </w:cols>
          <w:pgMar w:left="320" w:top="1325" w:right="339" w:bottom="1440" w:gutter="0" w:footer="0" w:header="0"/>
        </w:sectPr>
      </w:pPr>
    </w:p>
    <w:bookmarkStart w:id="49" w:name="page50"/>
    <w:bookmarkEnd w:id="49"/>
    <w:p>
      <w:pPr>
        <w:spacing w:after="0" w:line="210" w:lineRule="exact"/>
        <w:rPr>
          <w:sz w:val="20"/>
          <w:szCs w:val="20"/>
          <w:color w:val="auto"/>
        </w:rPr>
      </w:pPr>
    </w:p>
    <w:p>
      <w:pPr>
        <w:jc w:val="both"/>
        <w:ind w:right="320" w:firstLine="655"/>
        <w:spacing w:after="0" w:line="256" w:lineRule="auto"/>
        <w:tabs>
          <w:tab w:leader="none" w:pos="80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Building Top Signage</w:t>
      </w:r>
      <w:r>
        <w:rPr>
          <w:rFonts w:ascii="Times New Roman" w:cs="Times New Roman" w:eastAsia="Times New Roman" w:hAnsi="Times New Roman"/>
          <w:sz w:val="16"/>
          <w:szCs w:val="16"/>
          <w:color w:val="auto"/>
        </w:rPr>
        <w:t xml:space="preserve">. The parties hereby acknowledge that Tenant currently has two signs at the top of the Building, as depicted on </w:t>
      </w:r>
      <w:r>
        <w:rPr>
          <w:rFonts w:ascii="Times New Roman" w:cs="Times New Roman" w:eastAsia="Times New Roman" w:hAnsi="Times New Roman"/>
          <w:sz w:val="16"/>
          <w:szCs w:val="16"/>
          <w:b w:val="1"/>
          <w:bCs w:val="1"/>
          <w:u w:val="single" w:color="auto"/>
          <w:color w:val="auto"/>
        </w:rPr>
        <w:t>Exhibit E</w:t>
      </w:r>
      <w:r>
        <w:rPr>
          <w:rFonts w:ascii="Times New Roman" w:cs="Times New Roman" w:eastAsia="Times New Roman" w:hAnsi="Times New Roman"/>
          <w:sz w:val="16"/>
          <w:szCs w:val="16"/>
          <w:color w:val="auto"/>
        </w:rPr>
        <w:t xml:space="preserve"> attached hereto, which signs may remain through the expiration of the Extended Term (as it may be extended pursuant to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of this Amendment), in accordance with the terms of the Lease, as amended hereby. Notwithstanding anything contained in the Lease to the contrary, effective as of March 1, 2026, (i) </w:t>
      </w:r>
      <w:r>
        <w:rPr>
          <w:rFonts w:ascii="Times New Roman" w:cs="Times New Roman" w:eastAsia="Times New Roman" w:hAnsi="Times New Roman"/>
          <w:sz w:val="16"/>
          <w:szCs w:val="16"/>
          <w:u w:val="single" w:color="auto"/>
          <w:color w:val="auto"/>
        </w:rPr>
        <w:t>Section 13(b)(i)(3)</w:t>
      </w:r>
      <w:r>
        <w:rPr>
          <w:rFonts w:ascii="Times New Roman" w:cs="Times New Roman" w:eastAsia="Times New Roman" w:hAnsi="Times New Roman"/>
          <w:sz w:val="16"/>
          <w:szCs w:val="16"/>
          <w:color w:val="auto"/>
        </w:rPr>
        <w:t xml:space="preserve"> of the First Amendment is hereby amended to state that Tenant shall have no further right to additional Building Top Signage during the Term, except as otherwise set forth below, (ii) </w:t>
      </w:r>
      <w:r>
        <w:rPr>
          <w:rFonts w:ascii="Times New Roman" w:cs="Times New Roman" w:eastAsia="Times New Roman" w:hAnsi="Times New Roman"/>
          <w:sz w:val="16"/>
          <w:szCs w:val="16"/>
          <w:u w:val="single" w:color="auto"/>
          <w:color w:val="auto"/>
        </w:rPr>
        <w:t>Section 13(b)(ii)</w:t>
      </w:r>
      <w:r>
        <w:rPr>
          <w:rFonts w:ascii="Times New Roman" w:cs="Times New Roman" w:eastAsia="Times New Roman" w:hAnsi="Times New Roman"/>
          <w:sz w:val="16"/>
          <w:szCs w:val="16"/>
          <w:color w:val="auto"/>
        </w:rPr>
        <w:t xml:space="preserve"> of the First Amendment is hereby deleted in its entirety, and (iii)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the Second Amendment shall be deleted in its entirety and of no further force or effect. Starting on March 1, 2026 and continuing during the Extended Term, in the event that Landlord is planning to lease Building Top Signage on the Building to a tenant or potential tenant unaffiliated with Tenant, Landlord shall first send a notice to Tenant (which may be sent via e-mail), requesting whether Tenant would like to lease such Top Building Signage at the prevailing market rate (but in no event less than $5,000 per month per sign). Tenant shall have ten (10) days following the receipt of such notice to respond and if no response is received by Landlord, Tenant shall be deemed to have elected to not lease the additional Building Top Signage. In the event that Tenant elects to lease the additional Top Building Signage, Landlord and Tenant shall enter into an amendment to the Lease within fifteen (15) days following Tenant's exercise of the foregoing right to additional signage and shall start paying no later than the date which is thirty (30) days following Tenant's election, or as otherwise mutually agreed to in such amendment. In the event that Tenant has leased additional Building Top Signage pursuant to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on or prior to the expiration of the Term of the Lease or the earlier termination of this Lease, whichever occurs first, Tenant shall remove all such additional Building Top Signage at Tenant's sole cost and expense.</w:t>
      </w:r>
    </w:p>
    <w:p>
      <w:pPr>
        <w:spacing w:after="0" w:line="197" w:lineRule="exact"/>
        <w:rPr>
          <w:rFonts w:ascii="Times New Roman" w:cs="Times New Roman" w:eastAsia="Times New Roman" w:hAnsi="Times New Roman"/>
          <w:sz w:val="16"/>
          <w:szCs w:val="16"/>
          <w:color w:val="auto"/>
        </w:rPr>
      </w:pPr>
    </w:p>
    <w:p>
      <w:pPr>
        <w:jc w:val="both"/>
        <w:ind w:firstLine="655"/>
        <w:spacing w:after="0" w:line="210" w:lineRule="auto"/>
        <w:tabs>
          <w:tab w:leader="none" w:pos="82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Premises Signage</w:t>
      </w:r>
      <w:r>
        <w:rPr>
          <w:rFonts w:ascii="Times New Roman" w:cs="Times New Roman" w:eastAsia="Times New Roman" w:hAnsi="Times New Roman"/>
          <w:sz w:val="16"/>
          <w:szCs w:val="16"/>
          <w:color w:val="auto"/>
        </w:rPr>
        <w:t xml:space="preserve">. Effective as of March 1, 2026,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of the Third Amendment is hereby deleted in its entirety and of no further force or effect. Furthermore, </w:t>
      </w:r>
      <w:r>
        <w:rPr>
          <w:rFonts w:ascii="Times New Roman" w:cs="Times New Roman" w:eastAsia="Times New Roman" w:hAnsi="Times New Roman"/>
          <w:sz w:val="16"/>
          <w:szCs w:val="16"/>
          <w:u w:val="single" w:color="auto"/>
          <w:color w:val="auto"/>
        </w:rPr>
        <w:t>Section 13(a)</w:t>
      </w:r>
      <w:r>
        <w:rPr>
          <w:rFonts w:ascii="Times New Roman" w:cs="Times New Roman" w:eastAsia="Times New Roman" w:hAnsi="Times New Roman"/>
          <w:sz w:val="16"/>
          <w:szCs w:val="16"/>
          <w:color w:val="auto"/>
        </w:rPr>
        <w:t xml:space="preserve"> of the First Amendment is hereby amended to provide that starting as of March 1, 2026, Tenant shall have no further signage rights on the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of the Building.</w:t>
      </w:r>
    </w:p>
    <w:p>
      <w:pPr>
        <w:spacing w:after="0" w:line="195" w:lineRule="exact"/>
        <w:rPr>
          <w:rFonts w:ascii="Times New Roman" w:cs="Times New Roman" w:eastAsia="Times New Roman" w:hAnsi="Times New Roman"/>
          <w:sz w:val="16"/>
          <w:szCs w:val="16"/>
          <w:color w:val="auto"/>
        </w:rPr>
      </w:pPr>
    </w:p>
    <w:p>
      <w:pPr>
        <w:jc w:val="both"/>
        <w:ind w:firstLine="655"/>
        <w:spacing w:after="0" w:line="232" w:lineRule="auto"/>
        <w:tabs>
          <w:tab w:leader="none" w:pos="89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Parking</w:t>
      </w:r>
      <w:r>
        <w:rPr>
          <w:rFonts w:ascii="Times New Roman" w:cs="Times New Roman" w:eastAsia="Times New Roman" w:hAnsi="Times New Roman"/>
          <w:sz w:val="16"/>
          <w:szCs w:val="16"/>
          <w:color w:val="auto"/>
        </w:rPr>
        <w:t>. During the Extended Term, Tenant shall have the right to use up to thirty-seven (37) unreserved parking spaces in the Parking Garage at the prevailing rates established by Landlord for the Building from time to time. In addition, Tenant shall have the right to purchase up to thirty-seven (37) discounted parking prepaid vouchers for each weekday at a rate of ten dollars ($10) per day per vehicle.</w:t>
      </w:r>
    </w:p>
    <w:p>
      <w:pPr>
        <w:spacing w:after="0" w:line="195" w:lineRule="exact"/>
        <w:rPr>
          <w:rFonts w:ascii="Times New Roman" w:cs="Times New Roman" w:eastAsia="Times New Roman" w:hAnsi="Times New Roman"/>
          <w:sz w:val="16"/>
          <w:szCs w:val="16"/>
          <w:color w:val="auto"/>
        </w:rPr>
      </w:pPr>
    </w:p>
    <w:p>
      <w:pPr>
        <w:ind w:left="900" w:hanging="245"/>
        <w:spacing w:after="0"/>
        <w:tabs>
          <w:tab w:leader="none" w:pos="9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New Letter of Credit</w:t>
      </w:r>
      <w:r>
        <w:rPr>
          <w:rFonts w:ascii="Times New Roman" w:cs="Times New Roman" w:eastAsia="Times New Roman" w:hAnsi="Times New Roman"/>
          <w:sz w:val="16"/>
          <w:szCs w:val="16"/>
          <w:color w:val="auto"/>
        </w:rPr>
        <w:t>.</w:t>
      </w:r>
    </w:p>
    <w:p>
      <w:pPr>
        <w:spacing w:after="0" w:line="262" w:lineRule="exact"/>
        <w:rPr>
          <w:sz w:val="20"/>
          <w:szCs w:val="20"/>
          <w:color w:val="auto"/>
        </w:rPr>
      </w:pPr>
    </w:p>
    <w:p>
      <w:pPr>
        <w:jc w:val="both"/>
        <w:ind w:right="320" w:firstLine="1295"/>
        <w:spacing w:after="0" w:line="263"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New Letter of Credit</w:t>
      </w:r>
      <w:r>
        <w:rPr>
          <w:rFonts w:ascii="Times New Roman" w:cs="Times New Roman" w:eastAsia="Times New Roman" w:hAnsi="Times New Roman"/>
          <w:sz w:val="16"/>
          <w:szCs w:val="16"/>
          <w:color w:val="auto"/>
        </w:rPr>
        <w:t>. Landlord and Tenant hereby acknowledge that Landlord is currently holding a Letter of Credit in the amount of $1,500,000.00 (the "</w:t>
      </w:r>
      <w:r>
        <w:rPr>
          <w:rFonts w:ascii="Times New Roman" w:cs="Times New Roman" w:eastAsia="Times New Roman" w:hAnsi="Times New Roman"/>
          <w:sz w:val="16"/>
          <w:szCs w:val="16"/>
          <w:b w:val="1"/>
          <w:bCs w:val="1"/>
          <w:color w:val="auto"/>
        </w:rPr>
        <w:t>New Letter of Credit Amount</w:t>
      </w:r>
      <w:r>
        <w:rPr>
          <w:rFonts w:ascii="Times New Roman" w:cs="Times New Roman" w:eastAsia="Times New Roman" w:hAnsi="Times New Roman"/>
          <w:sz w:val="16"/>
          <w:szCs w:val="16"/>
          <w:color w:val="auto"/>
        </w:rPr>
        <w:t>"), as protection for the full and faithful performance by Tenant of all of its obligations under the Lease, as hereby amended, and for all losses and damages Landlord may suffer as a result of any breach or default by Tenant under the Lease, as hereby amended. On or prior to October 31, 2025, Tenant shall deliver to Landlord a new Letter of Credit, or an amendment to the existing Letter of Credit (such new letter of credit or amended existing letter of credit referred to herein as the "</w:t>
      </w:r>
      <w:r>
        <w:rPr>
          <w:rFonts w:ascii="Times New Roman" w:cs="Times New Roman" w:eastAsia="Times New Roman" w:hAnsi="Times New Roman"/>
          <w:sz w:val="16"/>
          <w:szCs w:val="16"/>
          <w:b w:val="1"/>
          <w:bCs w:val="1"/>
          <w:color w:val="auto"/>
        </w:rPr>
        <w:t>New Letter of Credit</w:t>
      </w:r>
      <w:r>
        <w:rPr>
          <w:rFonts w:ascii="Times New Roman" w:cs="Times New Roman" w:eastAsia="Times New Roman" w:hAnsi="Times New Roman"/>
          <w:sz w:val="16"/>
          <w:szCs w:val="16"/>
          <w:color w:val="auto"/>
        </w:rPr>
        <w:t>"), modifying the outside automatic extension date to February 29, 2028.</w:t>
      </w:r>
    </w:p>
    <w:p>
      <w:pPr>
        <w:spacing w:after="0" w:line="247" w:lineRule="exact"/>
        <w:rPr>
          <w:sz w:val="20"/>
          <w:szCs w:val="20"/>
          <w:color w:val="auto"/>
        </w:rPr>
      </w:pPr>
    </w:p>
    <w:p>
      <w:pPr>
        <w:jc w:val="both"/>
        <w:ind w:right="320" w:firstLine="1295"/>
        <w:spacing w:after="0" w:line="260"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Reduction in New Letter of Credit Amount</w:t>
      </w:r>
      <w:r>
        <w:rPr>
          <w:rFonts w:ascii="Times New Roman" w:cs="Times New Roman" w:eastAsia="Times New Roman" w:hAnsi="Times New Roman"/>
          <w:sz w:val="16"/>
          <w:szCs w:val="16"/>
          <w:color w:val="auto"/>
        </w:rPr>
        <w:t>. Notwithstanding the foregoing or anything contained in the Lease, as hereby amended to the contrary, the New Letter of Credit Amount shall not be subject to reduction except as expressly set forth herein. The New Letter of Credit Amount shall reduce on March 1, 2026 (the "</w:t>
      </w:r>
      <w:r>
        <w:rPr>
          <w:rFonts w:ascii="Times New Roman" w:cs="Times New Roman" w:eastAsia="Times New Roman" w:hAnsi="Times New Roman"/>
          <w:sz w:val="16"/>
          <w:szCs w:val="16"/>
          <w:b w:val="1"/>
          <w:bCs w:val="1"/>
          <w:color w:val="auto"/>
        </w:rPr>
        <w:t>Reduction Date</w:t>
      </w:r>
      <w:r>
        <w:rPr>
          <w:rFonts w:ascii="Times New Roman" w:cs="Times New Roman" w:eastAsia="Times New Roman" w:hAnsi="Times New Roman"/>
          <w:sz w:val="16"/>
          <w:szCs w:val="16"/>
          <w:color w:val="auto"/>
        </w:rPr>
        <w:t>"), by the amount of $605,500.00 (such that the New Letter of Credit following such reduction shall be in the amount of $894.500.00); provided, however, that if on or prior to the Reduction Date, a default by Tenant under the Lease, as amended, shall have occurred, then the New Letter of Credit amount shall not reduce on such date and shall not thereafter reduce. In no event shall any such reduction of the New Letter of Credit be construed as an admission by Landlord that Tenant has performed all of its covenants and obligations under the Lease, as amended.</w:t>
      </w:r>
    </w:p>
    <w:p>
      <w:pPr>
        <w:spacing w:after="0" w:line="235" w:lineRule="exact"/>
        <w:rPr>
          <w:sz w:val="20"/>
          <w:szCs w:val="20"/>
          <w:color w:val="auto"/>
        </w:rPr>
      </w:pPr>
    </w:p>
    <w:p>
      <w:pPr>
        <w:ind w:right="720" w:firstLine="656"/>
        <w:spacing w:after="0" w:line="280" w:lineRule="auto"/>
        <w:tabs>
          <w:tab w:leader="none" w:pos="89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of First Offer</w:t>
      </w:r>
      <w:r>
        <w:rPr>
          <w:rFonts w:ascii="Times New Roman" w:cs="Times New Roman" w:eastAsia="Times New Roman" w:hAnsi="Times New Roman"/>
          <w:sz w:val="16"/>
          <w:szCs w:val="16"/>
          <w:color w:val="auto"/>
        </w:rPr>
        <w:t xml:space="preserve">. Effective as of the date hereof, the last sentence of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the First Amendment and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to the First Amendment are hereby is deleted in their entirety and of no further force or effect.</w:t>
      </w:r>
    </w:p>
    <w:p>
      <w:pPr>
        <w:spacing w:after="0" w:line="191" w:lineRule="exact"/>
        <w:rPr>
          <w:rFonts w:ascii="Times New Roman" w:cs="Times New Roman" w:eastAsia="Times New Roman" w:hAnsi="Times New Roman"/>
          <w:sz w:val="16"/>
          <w:szCs w:val="16"/>
          <w:color w:val="auto"/>
        </w:rPr>
      </w:pPr>
    </w:p>
    <w:p>
      <w:pPr>
        <w:ind w:right="240" w:firstLine="655"/>
        <w:spacing w:after="0" w:line="245" w:lineRule="auto"/>
        <w:tabs>
          <w:tab w:leader="none" w:pos="89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Landlord's Representatives</w:t>
      </w:r>
      <w:r>
        <w:rPr>
          <w:rFonts w:ascii="Times New Roman" w:cs="Times New Roman" w:eastAsia="Times New Roman" w:hAnsi="Times New Roman"/>
          <w:sz w:val="16"/>
          <w:szCs w:val="16"/>
          <w:color w:val="auto"/>
        </w:rPr>
        <w:t>. Effective as of the date hereof, the terms "Landlord's Representatives" and "Landlord Parties" as used in the Lease shall include Lakeside Group, LLC. Furthermore, Tenant shall include Lakeside Group, LLC as an additional insured to its insurance policies required under the Lease.</w:t>
      </w:r>
    </w:p>
    <w:p>
      <w:pPr>
        <w:spacing w:after="0" w:line="191" w:lineRule="exact"/>
        <w:rPr>
          <w:rFonts w:ascii="Times New Roman" w:cs="Times New Roman" w:eastAsia="Times New Roman" w:hAnsi="Times New Roman"/>
          <w:sz w:val="16"/>
          <w:szCs w:val="16"/>
          <w:color w:val="auto"/>
        </w:rPr>
      </w:pPr>
    </w:p>
    <w:p>
      <w:pPr>
        <w:ind w:right="340" w:firstLine="655"/>
        <w:spacing w:after="0" w:line="245" w:lineRule="auto"/>
        <w:tabs>
          <w:tab w:leader="none" w:pos="89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Landlord Notice Address</w:t>
      </w:r>
      <w:r>
        <w:rPr>
          <w:rFonts w:ascii="Times New Roman" w:cs="Times New Roman" w:eastAsia="Times New Roman" w:hAnsi="Times New Roman"/>
          <w:sz w:val="16"/>
          <w:szCs w:val="16"/>
          <w:color w:val="auto"/>
        </w:rPr>
        <w:t>. Notices required to be sent to Landlord under the Lease shall be sent to: 180 Grand, LLC, c/o Lakeside Group, LLC, 180 Grand Avenue, Suite 310, Oakland, California 94610, Attention: Asset Manager.</w:t>
      </w:r>
    </w:p>
    <w:p>
      <w:pPr>
        <w:spacing w:after="0" w:line="191" w:lineRule="exact"/>
        <w:rPr>
          <w:rFonts w:ascii="Times New Roman" w:cs="Times New Roman" w:eastAsia="Times New Roman" w:hAnsi="Times New Roman"/>
          <w:sz w:val="16"/>
          <w:szCs w:val="16"/>
          <w:color w:val="auto"/>
        </w:rPr>
      </w:pPr>
    </w:p>
    <w:p>
      <w:pPr>
        <w:ind w:right="160" w:firstLine="655"/>
        <w:spacing w:after="0" w:line="223" w:lineRule="auto"/>
        <w:tabs>
          <w:tab w:leader="none" w:pos="89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Broker</w:t>
      </w:r>
      <w:r>
        <w:rPr>
          <w:rFonts w:ascii="Times New Roman" w:cs="Times New Roman" w:eastAsia="Times New Roman" w:hAnsi="Times New Roman"/>
          <w:sz w:val="16"/>
          <w:szCs w:val="16"/>
          <w:color w:val="auto"/>
        </w:rPr>
        <w:t>. Landlord and Tenant hereby warrant to each other that they have had no dealings with any real estate broker or agent in connection with the negotiation of this Amendment other than Newmark, on behalf of Tenant, and Jones Lang LaSalle, on behalf of Landlord (collectively, the "</w:t>
      </w:r>
      <w:r>
        <w:rPr>
          <w:rFonts w:ascii="Times New Roman" w:cs="Times New Roman" w:eastAsia="Times New Roman" w:hAnsi="Times New Roman"/>
          <w:sz w:val="16"/>
          <w:szCs w:val="16"/>
          <w:b w:val="1"/>
          <w:bCs w:val="1"/>
          <w:color w:val="auto"/>
        </w:rPr>
        <w:t>Brokers</w:t>
      </w:r>
      <w:r>
        <w:rPr>
          <w:rFonts w:ascii="Times New Roman" w:cs="Times New Roman" w:eastAsia="Times New Roman" w:hAnsi="Times New Roman"/>
          <w:sz w:val="16"/>
          <w:szCs w:val="16"/>
          <w:color w:val="auto"/>
        </w:rPr>
        <w:t>"), and that they know of no other real estate broker or agent who is entitled to a commission in connection with this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12"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 xml:space="preserve">to be owing on account of any dealings with any real estate broker or agent (other than the Brokers) occurring by, through, or under the indemnifying party. The terms of this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shall survive the expiration or earlier termination of the Lease, as amended.</w:t>
      </w:r>
    </w:p>
    <w:p>
      <w:pPr>
        <w:spacing w:after="0" w:line="192" w:lineRule="exact"/>
        <w:rPr>
          <w:sz w:val="20"/>
          <w:szCs w:val="20"/>
          <w:color w:val="auto"/>
        </w:rPr>
      </w:pPr>
    </w:p>
    <w:p>
      <w:pPr>
        <w:jc w:val="both"/>
        <w:ind w:firstLine="655"/>
        <w:spacing w:after="0" w:line="214" w:lineRule="auto"/>
        <w:tabs>
          <w:tab w:leader="none" w:pos="89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CAS(p) Disclosure</w:t>
      </w:r>
      <w:r>
        <w:rPr>
          <w:rFonts w:ascii="Times New Roman" w:cs="Times New Roman" w:eastAsia="Times New Roman" w:hAnsi="Times New Roman"/>
          <w:sz w:val="16"/>
          <w:szCs w:val="16"/>
          <w:color w:val="auto"/>
        </w:rPr>
        <w:t>. As required by Section 1938(a) of the California Civil Code, Landlord discloses to you that the Premises have not undergone inspection by a Certified Access Specialist ("</w:t>
      </w:r>
      <w:r>
        <w:rPr>
          <w:rFonts w:ascii="Times New Roman" w:cs="Times New Roman" w:eastAsia="Times New Roman" w:hAnsi="Times New Roman"/>
          <w:sz w:val="16"/>
          <w:szCs w:val="16"/>
          <w:b w:val="1"/>
          <w:bCs w:val="1"/>
          <w:color w:val="auto"/>
        </w:rPr>
        <w:t>CASp</w:t>
      </w:r>
      <w:r>
        <w:rPr>
          <w:rFonts w:ascii="Times New Roman" w:cs="Times New Roman" w:eastAsia="Times New Roman" w:hAnsi="Times New Roman"/>
          <w:sz w:val="16"/>
          <w:szCs w:val="16"/>
          <w:color w:val="auto"/>
        </w:rPr>
        <w:t>"). As required by Section 1938(e) of the California Civil Code, Landlord also states that: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As permitted by the quoted language above, it is agreed that: (a) any CASp inspection requested by Tenant shall be requested by Tenant within ten (10) days after the date on which this Amendment has been executed by Landlord and Tenant, (b) the contract under which the inspection is to be performed shall not limit the CASp's liability if the CASp fails to perform the inspection in accordance with the standard of care applicable to experts performing such inspections, Landlord shall be an intended third party beneficiary of such contract and the contract shall otherwise comply with the provisions of the Lease applicable to Tenant contracts for construction; (c) the CASp inspection shall be conducted (i) at Tenant's sole cost and expense, (ii) by a CASp approved in advance by Landlord, (iii) after normal business hours, (iv) in a manner reasonably satisfactory to Landlord, and (v) shall be addressed to, and, upon completion, promptly delivered to, Landlord and Tenant; (d) the information in the inspection shall not be disclosed by Tenant to anyone other than contractors, subcontractors, and consultants of Tenant who have a need to know the information therein and who agree in writing not to further disclose such information; and (e) notwithstanding anything to the contrary in the Lease, Tenant, shall, at its cost, make any repairs, improvements, and alterations, structural or non-structural, within the Premises to comply with all construction-related accessibility standards applicable to Tenant's use or occupancy of the Premises and Landlord shall make all such repairs, improvements and alterations outside of the Premises and the costs and charges for the same shall be paid by the Tenant. Landlord may elect to perform any portion of such work at Tenant's expense, which expense shall be estimated by Landlord and prepaid by Tenant within ten (10) days after Landlord's request. When the work is substantially completed, the estimated and actual costs and charges for such work shall be compared and Tenant shall receive a credit against future Base Rent for any overpayment and shall pay any underpayment to Landlord with the next installment of Base Rent due hereunder.</w:t>
      </w:r>
    </w:p>
    <w:p>
      <w:pPr>
        <w:spacing w:after="0" w:line="201" w:lineRule="exact"/>
        <w:rPr>
          <w:rFonts w:ascii="Times New Roman" w:cs="Times New Roman" w:eastAsia="Times New Roman" w:hAnsi="Times New Roman"/>
          <w:sz w:val="16"/>
          <w:szCs w:val="16"/>
          <w:color w:val="auto"/>
        </w:rPr>
      </w:pPr>
    </w:p>
    <w:p>
      <w:pPr>
        <w:jc w:val="both"/>
        <w:ind w:firstLine="655"/>
        <w:spacing w:after="0" w:line="232" w:lineRule="auto"/>
        <w:tabs>
          <w:tab w:leader="none" w:pos="89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Ratification and Confirmation</w:t>
      </w:r>
      <w:r>
        <w:rPr>
          <w:rFonts w:ascii="Times New Roman" w:cs="Times New Roman" w:eastAsia="Times New Roman" w:hAnsi="Times New Roman"/>
          <w:sz w:val="16"/>
          <w:szCs w:val="16"/>
          <w:color w:val="auto"/>
        </w:rPr>
        <w:t>. Except as set forth in this Amendment, all of the terms and provisions of the Lease are hereby ratified and confirmed and shall remain unmodified and in full force and effect. In the event of any conflict between the terms and conditions of the Lease and the terms and conditions of this Amendment, the terms and conditions of this Amendment shall prevail.</w:t>
      </w:r>
    </w:p>
    <w:p>
      <w:pPr>
        <w:spacing w:after="0" w:line="195" w:lineRule="exact"/>
        <w:rPr>
          <w:rFonts w:ascii="Times New Roman" w:cs="Times New Roman" w:eastAsia="Times New Roman" w:hAnsi="Times New Roman"/>
          <w:sz w:val="16"/>
          <w:szCs w:val="16"/>
          <w:color w:val="auto"/>
        </w:rPr>
      </w:pPr>
    </w:p>
    <w:p>
      <w:pPr>
        <w:ind w:firstLine="655"/>
        <w:spacing w:after="0" w:line="245" w:lineRule="auto"/>
        <w:tabs>
          <w:tab w:leader="none" w:pos="89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Offer</w:t>
      </w:r>
      <w:r>
        <w:rPr>
          <w:rFonts w:ascii="Times New Roman" w:cs="Times New Roman" w:eastAsia="Times New Roman" w:hAnsi="Times New Roman"/>
          <w:sz w:val="16"/>
          <w:szCs w:val="16"/>
          <w:color w:val="auto"/>
        </w:rPr>
        <w:t>. Submission of this instrument for examination and signature by Tenant does not constitute an offer to amend the Lease or a reservation of or option to amend the Lease, and this instrument is not effective as a lease amendment or otherwise until executed and delivered by both Landlord and Tenant.</w:t>
      </w:r>
    </w:p>
    <w:p>
      <w:pPr>
        <w:spacing w:after="0" w:line="191" w:lineRule="exact"/>
        <w:rPr>
          <w:rFonts w:ascii="Times New Roman" w:cs="Times New Roman" w:eastAsia="Times New Roman" w:hAnsi="Times New Roman"/>
          <w:sz w:val="16"/>
          <w:szCs w:val="16"/>
          <w:color w:val="auto"/>
        </w:rPr>
      </w:pPr>
    </w:p>
    <w:p>
      <w:pPr>
        <w:jc w:val="both"/>
        <w:ind w:firstLine="655"/>
        <w:spacing w:after="0" w:line="227" w:lineRule="auto"/>
        <w:tabs>
          <w:tab w:leader="none" w:pos="91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Amendment may be executed in any number of counterparts, each of which shall be deemed to be an original, and all of which counterparts, when taken together, shall be deemed to constitute one and the same instrument. In addition, the parties hereto consent and agree that this Amendment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[Signatures to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color w:val="auto"/>
        </w:rPr>
        <w:t>IN WITNESS WHEREOF, this Amendment has been executed as of the day and year first above written.</w:t>
      </w:r>
    </w:p>
    <w:p>
      <w:pPr>
        <w:sectPr>
          <w:pgSz w:w="11900" w:h="16838" w:orient="portrait"/>
          <w:cols w:equalWidth="0" w:num="1">
            <w:col w:w="10139"/>
          </w:cols>
          <w:pgMar w:left="320" w:top="1327" w:right="1440" w:bottom="1440" w:gutter="0" w:footer="0" w:header="0"/>
        </w:sectPr>
      </w:pPr>
    </w:p>
    <w:p>
      <w:pPr>
        <w:spacing w:after="0" w:line="289" w:lineRule="exact"/>
        <w:rPr>
          <w:sz w:val="20"/>
          <w:szCs w:val="20"/>
          <w:color w:val="auto"/>
        </w:rPr>
      </w:pPr>
    </w:p>
    <w:p>
      <w:pPr>
        <w:ind w:left="100"/>
        <w:spacing w:after="0"/>
        <w:tabs>
          <w:tab w:leader="none" w:pos="1180" w:val="left"/>
        </w:tabs>
        <w:rPr>
          <w:sz w:val="20"/>
          <w:szCs w:val="20"/>
          <w:color w:val="auto"/>
        </w:rPr>
      </w:pPr>
      <w:r>
        <w:rPr>
          <w:rFonts w:ascii="Times New Roman" w:cs="Times New Roman" w:eastAsia="Times New Roman" w:hAnsi="Times New Roman"/>
          <w:sz w:val="16"/>
          <w:szCs w:val="16"/>
          <w:color w:val="auto"/>
        </w:rPr>
        <w:t>LANDLORD:</w:t>
      </w:r>
      <w:r>
        <w:rPr>
          <w:sz w:val="20"/>
          <w:szCs w:val="20"/>
          <w:color w:val="auto"/>
        </w:rPr>
        <w:tab/>
      </w:r>
      <w:r>
        <w:rPr>
          <w:rFonts w:ascii="Times New Roman" w:cs="Times New Roman" w:eastAsia="Times New Roman" w:hAnsi="Times New Roman"/>
          <w:sz w:val="15"/>
          <w:szCs w:val="15"/>
          <w:color w:val="auto"/>
        </w:rPr>
        <w:t>TENANT:</w:t>
      </w:r>
    </w:p>
    <w:p>
      <w:pPr>
        <w:spacing w:after="0" w:line="200" w:lineRule="exact"/>
        <w:rPr>
          <w:sz w:val="20"/>
          <w:szCs w:val="20"/>
          <w:color w:val="auto"/>
        </w:rPr>
      </w:pPr>
    </w:p>
    <w:p>
      <w:pPr>
        <w:spacing w:after="0" w:line="289" w:lineRule="exact"/>
        <w:rPr>
          <w:sz w:val="20"/>
          <w:szCs w:val="20"/>
          <w:color w:val="auto"/>
        </w:rPr>
      </w:pPr>
    </w:p>
    <w:p>
      <w:pPr>
        <w:ind w:left="100"/>
        <w:spacing w:after="0"/>
        <w:tabs>
          <w:tab w:leader="none" w:pos="1480" w:val="left"/>
        </w:tabs>
        <w:rPr>
          <w:sz w:val="20"/>
          <w:szCs w:val="20"/>
          <w:color w:val="auto"/>
        </w:rPr>
      </w:pPr>
      <w:r>
        <w:rPr>
          <w:rFonts w:ascii="Times New Roman" w:cs="Times New Roman" w:eastAsia="Times New Roman" w:hAnsi="Times New Roman"/>
          <w:sz w:val="16"/>
          <w:szCs w:val="16"/>
          <w:b w:val="1"/>
          <w:bCs w:val="1"/>
          <w:color w:val="auto"/>
        </w:rPr>
        <w:t>180 Grand, LLC.</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b/>
        <w:t>Marqeta, Inc.</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ind w:left="100"/>
        <w:spacing w:after="0"/>
        <w:tabs>
          <w:tab w:leader="none" w:pos="2660" w:val="left"/>
        </w:tabs>
        <w:rPr>
          <w:sz w:val="20"/>
          <w:szCs w:val="20"/>
          <w:color w:val="auto"/>
        </w:rPr>
      </w:pPr>
      <w:r>
        <w:rPr>
          <w:rFonts w:ascii="Times New Roman" w:cs="Times New Roman" w:eastAsia="Times New Roman" w:hAnsi="Times New Roman"/>
          <w:sz w:val="16"/>
          <w:szCs w:val="16"/>
          <w:color w:val="auto"/>
        </w:rPr>
        <w:t>a Delaware limited liability company</w:t>
        <w:tab/>
        <w:t>a Delaware corporation</w:t>
      </w:r>
    </w:p>
    <w:p>
      <w:pPr>
        <w:spacing w:after="0" w:line="23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By: /s/ Isaac Abid</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By: /s/ Michael Milotich</w:t>
            </w:r>
          </w:p>
        </w:tc>
      </w:tr>
      <w:tr>
        <w:trPr>
          <w:trHeight w:val="20"/>
        </w:trPr>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Name: Isaac Abid</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w w:val="99"/>
              </w:rPr>
              <w:t>Name: Michael Milotich</w:t>
            </w:r>
          </w:p>
        </w:tc>
      </w:tr>
    </w:tbl>
    <w:p>
      <w:pPr>
        <w:ind w:left="100"/>
        <w:spacing w:after="0"/>
        <w:tabs>
          <w:tab w:leader="none" w:pos="1900" w:val="left"/>
        </w:tabs>
        <w:rPr>
          <w:sz w:val="20"/>
          <w:szCs w:val="20"/>
          <w:color w:val="auto"/>
        </w:rPr>
      </w:pPr>
      <w:r>
        <w:rPr>
          <w:rFonts w:ascii="Times New Roman" w:cs="Times New Roman" w:eastAsia="Times New Roman" w:hAnsi="Times New Roman"/>
          <w:sz w:val="16"/>
          <w:szCs w:val="16"/>
          <w:color w:val="auto"/>
        </w:rPr>
        <w:t>Its: Authorized Signatory</w:t>
        <w:tab/>
        <w:t>Title: CFO</w:t>
      </w:r>
    </w:p>
    <w:p>
      <w:pPr>
        <w:sectPr>
          <w:pgSz w:w="11900" w:h="16838" w:orient="portrait"/>
          <w:cols w:equalWidth="0" w:num="1">
            <w:col w:w="10139"/>
          </w:cols>
          <w:pgMar w:left="320" w:top="1327" w:right="1440" w:bottom="1440" w:gutter="0" w:footer="0" w:header="0"/>
          <w:type w:val="continuous"/>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ectPr>
          <w:pgSz w:w="11900" w:h="16838" w:orient="portrait"/>
          <w:cols w:equalWidth="0" w:num="1">
            <w:col w:w="9019"/>
          </w:cols>
          <w:pgMar w:left="1440" w:top="140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406" w:right="1440" w:bottom="1440" w:gutter="0" w:footer="0" w:header="0"/>
          <w:type w:val="continuous"/>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EXHIBIT B</w:t>
      </w:r>
    </w:p>
    <w:p>
      <w:pPr>
        <w:sectPr>
          <w:pgSz w:w="11900" w:h="16838" w:orient="portrait"/>
          <w:cols w:equalWidth="0" w:num="1">
            <w:col w:w="9019"/>
          </w:cols>
          <w:pgMar w:left="1440" w:top="1406" w:right="1440"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406" w:right="1440" w:bottom="1440" w:gutter="0" w:footer="0" w:header="0"/>
          <w:type w:val="continuous"/>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C</w:t>
      </w:r>
    </w:p>
    <w:p>
      <w:pPr>
        <w:sectPr>
          <w:pgSz w:w="11900" w:h="16838" w:orient="portrait"/>
          <w:cols w:equalWidth="0" w:num="1">
            <w:col w:w="9019"/>
          </w:cols>
          <w:pgMar w:left="1440" w:top="1406" w:right="1440"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406" w:right="1440" w:bottom="1440" w:gutter="0" w:footer="0" w:header="0"/>
          <w:type w:val="continuous"/>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D</w:t>
      </w:r>
    </w:p>
    <w:p>
      <w:pPr>
        <w:sectPr>
          <w:pgSz w:w="11900" w:h="16838" w:orient="portrait"/>
          <w:cols w:equalWidth="0" w:num="1">
            <w:col w:w="9019"/>
          </w:cols>
          <w:pgMar w:left="1440" w:top="1406" w:right="1440"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406" w:right="1440"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ectPr>
          <w:pgSz w:w="11900" w:h="16838" w:orient="portrait"/>
          <w:cols w:equalWidth="0" w:num="1">
            <w:col w:w="9019"/>
          </w:cols>
          <w:pgMar w:left="1440" w:top="1400" w:right="1440"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400" w:right="1440"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Michael (Mike) Milotich, certify that:</w:t>
      </w:r>
    </w:p>
    <w:p>
      <w:pPr>
        <w:spacing w:after="0" w:line="117"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Marqeta, Inc.;</w:t>
      </w:r>
    </w:p>
    <w:p>
      <w:pPr>
        <w:spacing w:after="0" w:line="117"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20" w:firstLine="8"/>
        <w:spacing w:after="0" w:line="287"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firstLine="8"/>
        <w:spacing w:after="0" w:line="287"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hanging="4"/>
        <w:spacing w:after="0" w:line="287" w:lineRule="auto"/>
        <w:tabs>
          <w:tab w:leader="none" w:pos="12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560" w:val="left"/>
        </w:tabs>
        <w:rPr>
          <w:sz w:val="20"/>
          <w:szCs w:val="20"/>
          <w:color w:val="auto"/>
        </w:rPr>
      </w:pPr>
      <w:r>
        <w:rPr>
          <w:rFonts w:ascii="Arial" w:cs="Arial" w:eastAsia="Arial" w:hAnsi="Arial"/>
          <w:sz w:val="16"/>
          <w:szCs w:val="16"/>
          <w:color w:val="auto"/>
        </w:rPr>
        <w:t>Date: August 6, 2025</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20955</wp:posOffset>
            </wp:positionV>
            <wp:extent cx="19373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Michael (Mike) Milotich</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Interim Chief Executive Officer &amp; Chief</w:t>
      </w:r>
    </w:p>
    <w:p>
      <w:pPr>
        <w:ind w:left="6840"/>
        <w:spacing w:after="0"/>
        <w:rPr>
          <w:sz w:val="20"/>
          <w:szCs w:val="20"/>
          <w:color w:val="auto"/>
        </w:rPr>
      </w:pPr>
      <w:r>
        <w:rPr>
          <w:rFonts w:ascii="Arial" w:cs="Arial" w:eastAsia="Arial" w:hAnsi="Arial"/>
          <w:sz w:val="16"/>
          <w:szCs w:val="16"/>
          <w:color w:val="auto"/>
        </w:rPr>
        <w:t>Financial Officer</w:t>
      </w:r>
    </w:p>
    <w:p>
      <w:pPr>
        <w:spacing w:after="0" w:line="10"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(Principal Executive, Financial, and</w:t>
      </w:r>
    </w:p>
    <w:p>
      <w:pPr>
        <w:ind w:left="6840"/>
        <w:spacing w:after="0"/>
        <w:rPr>
          <w:sz w:val="20"/>
          <w:szCs w:val="20"/>
          <w:color w:val="auto"/>
        </w:rPr>
      </w:pPr>
      <w:r>
        <w:rPr>
          <w:rFonts w:ascii="Arial" w:cs="Arial" w:eastAsia="Arial" w:hAnsi="Arial"/>
          <w:sz w:val="16"/>
          <w:szCs w:val="16"/>
          <w:color w:val="auto"/>
        </w:rPr>
        <w:t>Accounting Officer)</w:t>
      </w:r>
    </w:p>
    <w:p>
      <w:pPr>
        <w:sectPr>
          <w:pgSz w:w="11900" w:h="16838" w:orient="portrait"/>
          <w:cols w:equalWidth="0" w:num="1">
            <w:col w:w="11240"/>
          </w:cols>
          <w:pgMar w:left="320" w:top="93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Michael (Mike) Milotich, Interim Chief Executive Officer and Chief Financial Officer of Marqeta, Inc., certify, pursuant to 18 U.S.C. Section 1350, as adopted pursuant to Section 906 of the Sarbanes-Oxley Act of 2002, that the Quarterly Report on Form 10-Q of Marqeta, Inc. for the quarter ended June 30, 2025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p>
      <w:pPr>
        <w:spacing w:after="0" w:line="224" w:lineRule="exact"/>
        <w:rPr>
          <w:sz w:val="20"/>
          <w:szCs w:val="20"/>
          <w:color w:val="auto"/>
        </w:rPr>
      </w:pPr>
    </w:p>
    <w:p>
      <w:pPr>
        <w:ind w:left="20"/>
        <w:spacing w:after="0"/>
        <w:tabs>
          <w:tab w:leader="none" w:pos="7840" w:val="left"/>
        </w:tabs>
        <w:rPr>
          <w:sz w:val="20"/>
          <w:szCs w:val="20"/>
          <w:color w:val="auto"/>
        </w:rPr>
      </w:pPr>
      <w:r>
        <w:rPr>
          <w:rFonts w:ascii="Arial" w:cs="Arial" w:eastAsia="Arial" w:hAnsi="Arial"/>
          <w:sz w:val="16"/>
          <w:szCs w:val="16"/>
          <w:color w:val="auto"/>
        </w:rPr>
        <w:t>Date: August 6, 2025</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20955</wp:posOffset>
            </wp:positionV>
            <wp:extent cx="198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Michael (Mike) Milotich</w:t>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Interim Chief Executive Officer &amp; Chief</w:t>
      </w:r>
    </w:p>
    <w:p>
      <w:pPr>
        <w:ind w:left="8120"/>
        <w:spacing w:after="0"/>
        <w:rPr>
          <w:sz w:val="20"/>
          <w:szCs w:val="20"/>
          <w:color w:val="auto"/>
        </w:rPr>
      </w:pPr>
      <w:r>
        <w:rPr>
          <w:rFonts w:ascii="Arial" w:cs="Arial" w:eastAsia="Arial" w:hAnsi="Arial"/>
          <w:sz w:val="16"/>
          <w:szCs w:val="16"/>
          <w:color w:val="auto"/>
        </w:rPr>
        <w:t>Financial Officer</w:t>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(Principal Executive, Financial, and</w:t>
      </w:r>
    </w:p>
    <w:p>
      <w:pPr>
        <w:ind w:left="8120"/>
        <w:spacing w:after="0"/>
        <w:rPr>
          <w:sz w:val="20"/>
          <w:szCs w:val="20"/>
          <w:color w:val="auto"/>
        </w:rPr>
      </w:pPr>
      <w:r>
        <w:rPr>
          <w:rFonts w:ascii="Arial" w:cs="Arial" w:eastAsia="Arial" w:hAnsi="Arial"/>
          <w:sz w:val="16"/>
          <w:szCs w:val="16"/>
          <w:color w:val="auto"/>
        </w:rPr>
        <w:t>Accounting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1."/>
      <w:numFmt w:val="decimal"/>
      <w:start w:val="5"/>
    </w:lvl>
  </w:abstractNum>
  <w:abstractNum w:abstractNumId="8">
    <w:nsid w:val="2443A858"/>
    <w:multiLevelType w:val="hybridMultilevel"/>
    <w:lvl w:ilvl="0">
      <w:lvlJc w:val="left"/>
      <w:lvlText w:val="%1."/>
      <w:numFmt w:val="decimal"/>
      <w:start w:val="6"/>
    </w:lvl>
  </w:abstractNum>
  <w:abstractNum w:abstractNumId="9">
    <w:nsid w:val="2D1D5AE9"/>
    <w:multiLevelType w:val="hybridMultilevel"/>
    <w:lvl w:ilvl="0">
      <w:lvlJc w:val="left"/>
      <w:lvlText w:val="%1."/>
      <w:numFmt w:val="decimal"/>
      <w:start w:val="7"/>
    </w:lvl>
  </w:abstractNum>
  <w:abstractNum w:abstractNumId="10">
    <w:nsid w:val="6763845E"/>
    <w:multiLevelType w:val="hybridMultilevel"/>
    <w:lvl w:ilvl="0">
      <w:lvlJc w:val="left"/>
      <w:lvlText w:val="%1."/>
      <w:numFmt w:val="decimal"/>
      <w:start w:val="9"/>
    </w:lvl>
  </w:abstractNum>
  <w:abstractNum w:abstractNumId="11">
    <w:nsid w:val="75A2A8D4"/>
    <w:multiLevelType w:val="hybridMultilevel"/>
    <w:lvl w:ilvl="0">
      <w:lvlJc w:val="left"/>
      <w:lvlText w:val="%1."/>
      <w:numFmt w:val="decimal"/>
      <w:start w:val="10"/>
    </w:lvl>
  </w:abstractNum>
  <w:abstractNum w:abstractNumId="12">
    <w:nsid w:val="8EDBDAB"/>
    <w:multiLevelType w:val="hybridMultilevel"/>
    <w:lvl w:ilvl="0">
      <w:lvlJc w:val="left"/>
      <w:lvlText w:val="%1."/>
      <w:numFmt w:val="decimal"/>
      <w:start w:val="1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2"/>
    </w:lvl>
  </w:abstractNum>
  <w:abstractNum w:abstractNumId="15">
    <w:nsid w:val="B03E0C6"/>
    <w:multiLevelType w:val="hybridMultilevel"/>
    <w:lvl w:ilvl="0">
      <w:lvlJc w:val="left"/>
      <w:lvlText w:val="%1."/>
      <w:numFmt w:val="decimal"/>
      <w:start w:val="13"/>
    </w:lvl>
  </w:abstractNum>
  <w:abstractNum w:abstractNumId="16">
    <w:nsid w:val="189A769B"/>
    <w:multiLevelType w:val="hybridMultilevel"/>
    <w:lvl w:ilvl="0">
      <w:lvlJc w:val="left"/>
      <w:lvlText w:val="%1."/>
      <w:numFmt w:val="decimal"/>
      <w:start w:val="14"/>
    </w:lvl>
  </w:abstractNum>
  <w:abstractNum w:abstractNumId="17">
    <w:nsid w:val="54E49EB4"/>
    <w:multiLevelType w:val="hybridMultilevel"/>
    <w:lvl w:ilvl="0">
      <w:lvlJc w:val="left"/>
      <w:lvlText w:val="%1."/>
      <w:numFmt w:val="decimal"/>
      <w:start w:val="15"/>
    </w:lvl>
  </w:abstractNum>
  <w:abstractNum w:abstractNumId="18">
    <w:nsid w:val="71F32454"/>
    <w:multiLevelType w:val="hybridMultilevel"/>
    <w:lvl w:ilvl="0">
      <w:lvlJc w:val="left"/>
      <w:lvlText w:val="%1."/>
      <w:numFmt w:val="decimal"/>
      <w:start w:val="16"/>
    </w:lvl>
  </w:abstractNum>
  <w:abstractNum w:abstractNumId="19">
    <w:nsid w:val="2CA88611"/>
    <w:multiLevelType w:val="hybridMultilevel"/>
    <w:lvl w:ilvl="0">
      <w:lvlJc w:val="left"/>
      <w:lvlText w:val="1"/>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lowerLetter"/>
      <w:start w:val="3"/>
    </w:lvl>
  </w:abstractNum>
  <w:abstractNum w:abstractNumId="25">
    <w:nsid w:val="7C3DBD3D"/>
    <w:multiLevelType w:val="hybridMultilevel"/>
    <w:lvl w:ilvl="0">
      <w:lvlJc w:val="left"/>
      <w:lvlText w:val="%1"/>
      <w:numFmt w:val="lowerRoman"/>
      <w:start w:val="1"/>
    </w:lvl>
    <w:lvl w:ilvl="1">
      <w:lvlJc w:val="left"/>
      <w:lvlText w:val="%2."/>
      <w:numFmt w:val="upperLetter"/>
      <w:start w:val="1"/>
    </w:lvl>
  </w:abstractNum>
  <w:abstractNum w:abstractNumId="26">
    <w:nsid w:val="737B8DDC"/>
    <w:multiLevelType w:val="hybridMultilevel"/>
    <w:lvl w:ilvl="0">
      <w:lvlJc w:val="left"/>
      <w:lvlText w:val="(%1)"/>
      <w:numFmt w:val="lowerRoman"/>
      <w:start w:val="1"/>
    </w:lvl>
    <w:lvl w:ilvl="1">
      <w:lvlJc w:val="left"/>
      <w:lvlText w:val="%2."/>
      <w:numFmt w:val="upperLetter"/>
      <w:start w:val="2"/>
    </w:lvl>
  </w:abstractNum>
  <w:abstractNum w:abstractNumId="27">
    <w:nsid w:val="6CEAF087"/>
    <w:multiLevelType w:val="hybridMultilevel"/>
    <w:lvl w:ilvl="0">
      <w:lvlJc w:val="left"/>
      <w:lvlText w:val="%1."/>
      <w:numFmt w:val="upperLetter"/>
      <w:start w:val="3"/>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lowerLetter"/>
      <w:start w:val="1"/>
    </w:lvl>
    <w:lvl w:ilvl="1">
      <w:lvlJc w:val="left"/>
      <w:lvlText w:val="%2."/>
      <w:numFmt w:val="decimal"/>
      <w:start w:val="2"/>
    </w:lvl>
  </w:abstractNum>
  <w:abstractNum w:abstractNumId="30">
    <w:nsid w:val="3006C83E"/>
    <w:multiLevelType w:val="hybridMultilevel"/>
    <w:lvl w:ilvl="0">
      <w:lvlJc w:val="left"/>
      <w:lvlText w:val="(%1)"/>
      <w:numFmt w:val="lowerLetter"/>
      <w:start w:val="1"/>
    </w:lvl>
    <w:lvl w:ilvl="1">
      <w:lvlJc w:val="left"/>
      <w:lvlText w:val="%2."/>
      <w:numFmt w:val="decimal"/>
      <w:start w:val="4"/>
    </w:lvl>
  </w:abstractNum>
  <w:abstractNum w:abstractNumId="31">
    <w:nsid w:val="614FD4A1"/>
    <w:multiLevelType w:val="hybridMultilevel"/>
    <w:lvl w:ilvl="0">
      <w:lvlJc w:val="left"/>
      <w:lvlText w:val="%1."/>
      <w:numFmt w:val="decimal"/>
      <w:start w:val="6"/>
    </w:lvl>
  </w:abstractNum>
  <w:abstractNum w:abstractNumId="32">
    <w:nsid w:val="419AC241"/>
    <w:multiLevelType w:val="hybridMultilevel"/>
    <w:lvl w:ilvl="0">
      <w:lvlJc w:val="left"/>
      <w:lvlText w:val="%1."/>
      <w:numFmt w:val="decimal"/>
      <w:start w:val="8"/>
    </w:lvl>
  </w:abstractNum>
  <w:abstractNum w:abstractNumId="33">
    <w:nsid w:val="5577F8E1"/>
    <w:multiLevelType w:val="hybridMultilevel"/>
    <w:lvl w:ilvl="0">
      <w:lvlJc w:val="left"/>
      <w:lvlText w:val="%1."/>
      <w:numFmt w:val="decimal"/>
      <w:start w:val="12"/>
    </w:lvl>
  </w:abstractNum>
  <w:abstractNum w:abstractNumId="34">
    <w:nsid w:val="440BADFC"/>
    <w:multiLevelType w:val="hybridMultilevel"/>
    <w:lvl w:ilvl="0">
      <w:lvlJc w:val="left"/>
      <w:lvlText w:val="%1."/>
      <w:numFmt w:val="decimal"/>
      <w:start w:val="16"/>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2025-08-06T16:10:53Z</dcterms:created>
  <dcterms:modified xsi:type="dcterms:W3CDTF">2025-08-06T16:10:53Z</dcterms:modified>
</cp:coreProperties>
</file>