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Milotich Michael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 GRAND AVENUE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Marqeta,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MQ</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6" w:lineRule="exact"/>
        <w:rPr>
          <w:sz w:val="24"/>
          <w:szCs w:val="24"/>
          <w:color w:val="auto"/>
        </w:rPr>
      </w:pPr>
    </w:p>
    <w:p>
      <w:pPr>
        <w:sectPr>
          <w:pgSz w:w="11900" w:h="16838" w:orient="portrait"/>
          <w:cols w:equalWidth="0" w:num="3">
            <w:col w:w="3180" w:space="720"/>
            <w:col w:w="3102" w:space="720"/>
            <w:col w:w="3358"/>
          </w:cols>
          <w:pgMar w:left="460" w:top="215" w:right="359" w:bottom="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4"/>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96"/>
              </w:rPr>
              <w:t>Amount</w:t>
            </w:r>
          </w:p>
        </w:tc>
        <w:tc>
          <w:tcPr>
            <w:tcW w:w="840" w:type="dxa"/>
            <w:vAlign w:val="bottom"/>
            <w:gridSpan w:val="2"/>
          </w:tcPr>
          <w:p>
            <w:pPr>
              <w:ind w:left="40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330,695</w:t>
            </w:r>
            <w:r>
              <w:rPr>
                <w:rFonts w:ascii="Times New Roman" w:cs="Times New Roman" w:eastAsia="Times New Roman" w:hAnsi="Times New Roman"/>
                <w:sz w:val="20"/>
                <w:szCs w:val="20"/>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restart"/>
          </w:tcPr>
          <w:p>
            <w:pPr>
              <w:jc w:val="center"/>
              <w:ind w:right="186"/>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5"/>
                <w:szCs w:val="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5"/>
                <w:szCs w:val="5"/>
                <w:color w:val="auto"/>
              </w:rPr>
            </w:pPr>
          </w:p>
        </w:tc>
        <w:tc>
          <w:tcPr>
            <w:tcW w:w="80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7"/>
              </w:rPr>
              <w:t>20,935</w:t>
            </w:r>
            <w:r>
              <w:rPr>
                <w:rFonts w:ascii="Times New Roman" w:cs="Times New Roman" w:eastAsia="Times New Roman" w:hAnsi="Times New Roman"/>
                <w:sz w:val="20"/>
                <w:szCs w:val="20"/>
                <w:color w:val="008000"/>
                <w:w w:val="97"/>
                <w:vertAlign w:val="superscript"/>
              </w:rPr>
              <w:t>(4)</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3"/>
                <w:szCs w:val="13"/>
                <w:color w:val="0000FF"/>
                <w:w w:val="93"/>
              </w:rPr>
              <w:t>20,935</w:t>
            </w:r>
            <w:r>
              <w:rPr>
                <w:rFonts w:ascii="Times New Roman" w:cs="Times New Roman" w:eastAsia="Times New Roman" w:hAnsi="Times New Roman"/>
                <w:sz w:val="20"/>
                <w:szCs w:val="20"/>
                <w:color w:val="008000"/>
                <w:w w:val="93"/>
                <w:vertAlign w:val="superscript"/>
              </w:rPr>
              <w:t>(4)</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80" w:type="dxa"/>
            <w:vAlign w:val="bottom"/>
            <w:vMerge w:val="restart"/>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(Adjusted</w:t>
            </w: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EBITDA)</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restart"/>
          </w:tcPr>
          <w:p>
            <w:pPr>
              <w:jc w:val="center"/>
              <w:ind w:right="186"/>
              <w:spacing w:after="0"/>
              <w:rPr>
                <w:sz w:val="20"/>
                <w:szCs w:val="20"/>
                <w:color w:val="auto"/>
              </w:rPr>
            </w:pPr>
            <w:r>
              <w:rPr>
                <w:rFonts w:ascii="Times New Roman" w:cs="Times New Roman" w:eastAsia="Times New Roman" w:hAnsi="Times New Roman"/>
                <w:sz w:val="10"/>
                <w:szCs w:val="10"/>
                <w:color w:val="008000"/>
              </w:rPr>
              <w:t>(5)</w:t>
            </w:r>
          </w:p>
        </w:tc>
        <w:tc>
          <w:tcPr>
            <w:tcW w:w="280" w:type="dxa"/>
            <w:vAlign w:val="bottom"/>
          </w:tcPr>
          <w:p>
            <w:pPr>
              <w:spacing w:after="0"/>
              <w:rPr>
                <w:sz w:val="5"/>
                <w:szCs w:val="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continue"/>
          </w:tcPr>
          <w:p>
            <w:pPr>
              <w:spacing w:after="0"/>
              <w:rPr>
                <w:sz w:val="5"/>
                <w:szCs w:val="5"/>
                <w:color w:val="auto"/>
              </w:rPr>
            </w:pPr>
          </w:p>
        </w:tc>
        <w:tc>
          <w:tcPr>
            <w:tcW w:w="80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6"/>
              </w:rPr>
              <w:t>9,413</w:t>
            </w:r>
            <w:r>
              <w:rPr>
                <w:rFonts w:ascii="Times New Roman" w:cs="Times New Roman" w:eastAsia="Times New Roman" w:hAnsi="Times New Roman"/>
                <w:sz w:val="20"/>
                <w:szCs w:val="20"/>
                <w:color w:val="008000"/>
                <w:w w:val="96"/>
                <w:vertAlign w:val="superscript"/>
              </w:rPr>
              <w:t>(4)</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3"/>
                <w:szCs w:val="13"/>
                <w:color w:val="0000FF"/>
                <w:w w:val="89"/>
              </w:rPr>
              <w:t>9,413</w:t>
            </w:r>
            <w:r>
              <w:rPr>
                <w:rFonts w:ascii="Times New Roman" w:cs="Times New Roman" w:eastAsia="Times New Roman" w:hAnsi="Times New Roman"/>
                <w:sz w:val="20"/>
                <w:szCs w:val="20"/>
                <w:color w:val="008000"/>
                <w:w w:val="89"/>
                <w:vertAlign w:val="superscript"/>
              </w:rPr>
              <w:t>(4)</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80" w:type="dxa"/>
            <w:vAlign w:val="bottom"/>
            <w:vMerge w:val="restart"/>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(Adjusted</w:t>
            </w: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EBITDA)</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restart"/>
          </w:tcPr>
          <w:p>
            <w:pPr>
              <w:jc w:val="center"/>
              <w:ind w:right="186"/>
              <w:spacing w:after="0"/>
              <w:rPr>
                <w:sz w:val="20"/>
                <w:szCs w:val="20"/>
                <w:color w:val="auto"/>
              </w:rPr>
            </w:pPr>
            <w:r>
              <w:rPr>
                <w:rFonts w:ascii="Times New Roman" w:cs="Times New Roman" w:eastAsia="Times New Roman" w:hAnsi="Times New Roman"/>
                <w:sz w:val="10"/>
                <w:szCs w:val="10"/>
                <w:color w:val="008000"/>
              </w:rPr>
              <w:t>(6)</w:t>
            </w:r>
          </w:p>
        </w:tc>
        <w:tc>
          <w:tcPr>
            <w:tcW w:w="280" w:type="dxa"/>
            <w:vAlign w:val="bottom"/>
          </w:tcPr>
          <w:p>
            <w:pPr>
              <w:spacing w:after="0"/>
              <w:rPr>
                <w:sz w:val="5"/>
                <w:szCs w:val="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continue"/>
          </w:tcPr>
          <w:p>
            <w:pPr>
              <w:spacing w:after="0"/>
              <w:rPr>
                <w:sz w:val="5"/>
                <w:szCs w:val="5"/>
                <w:color w:val="auto"/>
              </w:rPr>
            </w:pPr>
          </w:p>
        </w:tc>
        <w:tc>
          <w:tcPr>
            <w:tcW w:w="80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7"/>
              </w:rPr>
              <w:t>48,848</w:t>
            </w:r>
            <w:r>
              <w:rPr>
                <w:rFonts w:ascii="Times New Roman" w:cs="Times New Roman" w:eastAsia="Times New Roman" w:hAnsi="Times New Roman"/>
                <w:sz w:val="20"/>
                <w:szCs w:val="20"/>
                <w:color w:val="008000"/>
                <w:w w:val="97"/>
                <w:vertAlign w:val="superscript"/>
              </w:rPr>
              <w:t>(4)</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3"/>
                <w:szCs w:val="13"/>
                <w:color w:val="0000FF"/>
                <w:w w:val="93"/>
              </w:rPr>
              <w:t>48,848</w:t>
            </w:r>
            <w:r>
              <w:rPr>
                <w:rFonts w:ascii="Times New Roman" w:cs="Times New Roman" w:eastAsia="Times New Roman" w:hAnsi="Times New Roman"/>
                <w:sz w:val="20"/>
                <w:szCs w:val="20"/>
                <w:color w:val="008000"/>
                <w:w w:val="93"/>
                <w:vertAlign w:val="superscript"/>
              </w:rPr>
              <w:t>(4)</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80" w:type="dxa"/>
            <w:vAlign w:val="bottom"/>
            <w:vMerge w:val="restart"/>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(Gross</w:t>
            </w: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Profit)</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restart"/>
          </w:tcPr>
          <w:p>
            <w:pPr>
              <w:jc w:val="center"/>
              <w:ind w:right="186"/>
              <w:spacing w:after="0"/>
              <w:rPr>
                <w:sz w:val="20"/>
                <w:szCs w:val="20"/>
                <w:color w:val="auto"/>
              </w:rPr>
            </w:pPr>
            <w:r>
              <w:rPr>
                <w:rFonts w:ascii="Times New Roman" w:cs="Times New Roman" w:eastAsia="Times New Roman" w:hAnsi="Times New Roman"/>
                <w:sz w:val="10"/>
                <w:szCs w:val="10"/>
                <w:color w:val="008000"/>
              </w:rPr>
              <w:t>(7)</w:t>
            </w:r>
          </w:p>
        </w:tc>
        <w:tc>
          <w:tcPr>
            <w:tcW w:w="280" w:type="dxa"/>
            <w:vAlign w:val="bottom"/>
          </w:tcPr>
          <w:p>
            <w:pPr>
              <w:spacing w:after="0"/>
              <w:rPr>
                <w:sz w:val="5"/>
                <w:szCs w:val="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vMerge w:val="continue"/>
          </w:tcPr>
          <w:p>
            <w:pPr>
              <w:spacing w:after="0"/>
              <w:rPr>
                <w:sz w:val="5"/>
                <w:szCs w:val="5"/>
                <w:color w:val="auto"/>
              </w:rPr>
            </w:pPr>
          </w:p>
        </w:tc>
        <w:tc>
          <w:tcPr>
            <w:tcW w:w="80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7"/>
              </w:rPr>
              <w:t>21,964</w:t>
            </w:r>
            <w:r>
              <w:rPr>
                <w:rFonts w:ascii="Times New Roman" w:cs="Times New Roman" w:eastAsia="Times New Roman" w:hAnsi="Times New Roman"/>
                <w:sz w:val="20"/>
                <w:szCs w:val="20"/>
                <w:color w:val="008000"/>
                <w:w w:val="97"/>
                <w:vertAlign w:val="superscript"/>
              </w:rPr>
              <w:t>(4)</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3"/>
                <w:szCs w:val="13"/>
                <w:color w:val="0000FF"/>
                <w:w w:val="93"/>
              </w:rPr>
              <w:t>21,964</w:t>
            </w:r>
            <w:r>
              <w:rPr>
                <w:rFonts w:ascii="Times New Roman" w:cs="Times New Roman" w:eastAsia="Times New Roman" w:hAnsi="Times New Roman"/>
                <w:sz w:val="20"/>
                <w:szCs w:val="20"/>
                <w:color w:val="008000"/>
                <w:w w:val="93"/>
                <w:vertAlign w:val="superscript"/>
              </w:rPr>
              <w:t>(4)</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80" w:type="dxa"/>
            <w:vAlign w:val="bottom"/>
            <w:vMerge w:val="restart"/>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(Gross</w:t>
            </w: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Profit)</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186"/>
              <w:spacing w:after="0"/>
              <w:rPr>
                <w:sz w:val="20"/>
                <w:szCs w:val="20"/>
                <w:color w:val="auto"/>
              </w:rPr>
            </w:pPr>
            <w:r>
              <w:rPr>
                <w:rFonts w:ascii="Times New Roman" w:cs="Times New Roman" w:eastAsia="Times New Roman" w:hAnsi="Times New Roman"/>
                <w:sz w:val="10"/>
                <w:szCs w:val="10"/>
                <w:color w:val="008000"/>
              </w:rPr>
              <w:t>(8)</w:t>
            </w:r>
          </w:p>
        </w:tc>
        <w:tc>
          <w:tcPr>
            <w:tcW w:w="280" w:type="dxa"/>
            <w:vAlign w:val="bottom"/>
          </w:tcPr>
          <w:p>
            <w:pPr>
              <w:spacing w:after="0"/>
              <w:rPr>
                <w:sz w:val="15"/>
                <w:szCs w:val="1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154,236</w:t>
            </w:r>
            <w:r>
              <w:rPr>
                <w:rFonts w:ascii="Times New Roman" w:cs="Times New Roman" w:eastAsia="Times New Roman" w:hAnsi="Times New Roman"/>
                <w:sz w:val="20"/>
                <w:szCs w:val="20"/>
                <w:color w:val="008000"/>
                <w:w w:val="97"/>
                <w:vertAlign w:val="superscript"/>
              </w:rPr>
              <w:t>(4)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154,236</w:t>
            </w:r>
            <w:r>
              <w:rPr>
                <w:rFonts w:ascii="Times New Roman" w:cs="Times New Roman" w:eastAsia="Times New Roman" w:hAnsi="Times New Roman"/>
                <w:sz w:val="20"/>
                <w:szCs w:val="20"/>
                <w:color w:val="008000"/>
                <w:w w:val="89"/>
                <w:vertAlign w:val="superscript"/>
              </w:rPr>
              <w:t>(4)</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80" w:type="dxa"/>
            <w:vAlign w:val="bottom"/>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(Rule of 40)</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0"/>
                <w:szCs w:val="10"/>
                <w:color w:val="008000"/>
              </w:rPr>
              <w:t>(10)</w:t>
            </w:r>
          </w:p>
        </w:tc>
        <w:tc>
          <w:tcPr>
            <w:tcW w:w="280" w:type="dxa"/>
            <w:vAlign w:val="bottom"/>
          </w:tcPr>
          <w:p>
            <w:pPr>
              <w:spacing w:after="0"/>
              <w:rPr>
                <w:sz w:val="15"/>
                <w:szCs w:val="1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(10)</w:t>
            </w: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37,319</w:t>
            </w:r>
            <w:r>
              <w:rPr>
                <w:rFonts w:ascii="Times New Roman" w:cs="Times New Roman" w:eastAsia="Times New Roman" w:hAnsi="Times New Roman"/>
                <w:sz w:val="20"/>
                <w:szCs w:val="20"/>
                <w:color w:val="008000"/>
                <w:w w:val="93"/>
                <w:vertAlign w:val="superscript"/>
              </w:rPr>
              <w:t>(11)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37,319</w:t>
            </w:r>
            <w:r>
              <w:rPr>
                <w:rFonts w:ascii="Times New Roman" w:cs="Times New Roman" w:eastAsia="Times New Roman" w:hAnsi="Times New Roman"/>
                <w:sz w:val="20"/>
                <w:szCs w:val="20"/>
                <w:color w:val="008000"/>
                <w:w w:val="89"/>
                <w:vertAlign w:val="superscript"/>
              </w:rPr>
              <w:t>(11)</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80" w:type="dxa"/>
            <w:vAlign w:val="bottom"/>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0"/>
                <w:szCs w:val="10"/>
                <w:color w:val="008000"/>
              </w:rPr>
              <w:t>(12)</w:t>
            </w:r>
          </w:p>
        </w:tc>
        <w:tc>
          <w:tcPr>
            <w:tcW w:w="280" w:type="dxa"/>
            <w:vAlign w:val="bottom"/>
          </w:tcPr>
          <w:p>
            <w:pPr>
              <w:spacing w:after="0"/>
              <w:rPr>
                <w:sz w:val="15"/>
                <w:szCs w:val="1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(12)</w:t>
            </w: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73,214</w:t>
            </w:r>
            <w:r>
              <w:rPr>
                <w:rFonts w:ascii="Times New Roman" w:cs="Times New Roman" w:eastAsia="Times New Roman" w:hAnsi="Times New Roman"/>
                <w:sz w:val="20"/>
                <w:szCs w:val="20"/>
                <w:color w:val="008000"/>
                <w:w w:val="93"/>
                <w:vertAlign w:val="superscript"/>
              </w:rPr>
              <w:t>(11)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73,214</w:t>
            </w:r>
            <w:r>
              <w:rPr>
                <w:rFonts w:ascii="Times New Roman" w:cs="Times New Roman" w:eastAsia="Times New Roman" w:hAnsi="Times New Roman"/>
                <w:sz w:val="20"/>
                <w:szCs w:val="20"/>
                <w:color w:val="008000"/>
                <w:w w:val="89"/>
                <w:vertAlign w:val="superscript"/>
              </w:rPr>
              <w:t>(11)</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80" w:type="dxa"/>
            <w:vAlign w:val="bottom"/>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153,236</w:t>
            </w:r>
            <w:r>
              <w:rPr>
                <w:rFonts w:ascii="Times New Roman" w:cs="Times New Roman" w:eastAsia="Times New Roman" w:hAnsi="Times New Roman"/>
                <w:sz w:val="20"/>
                <w:szCs w:val="20"/>
                <w:color w:val="008000"/>
                <w:w w:val="94"/>
                <w:vertAlign w:val="superscript"/>
              </w:rPr>
              <w:t>(11)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153,236</w:t>
            </w:r>
            <w:r>
              <w:rPr>
                <w:rFonts w:ascii="Times New Roman" w:cs="Times New Roman" w:eastAsia="Times New Roman" w:hAnsi="Times New Roman"/>
                <w:sz w:val="20"/>
                <w:szCs w:val="20"/>
                <w:color w:val="008000"/>
                <w:w w:val="89"/>
                <w:vertAlign w:val="superscript"/>
              </w:rPr>
              <w:t>(11)</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0"/>
                <w:szCs w:val="10"/>
                <w:color w:val="008000"/>
              </w:rPr>
              <w:t>(13)</w:t>
            </w:r>
          </w:p>
        </w:tc>
        <w:tc>
          <w:tcPr>
            <w:tcW w:w="280" w:type="dxa"/>
            <w:vAlign w:val="bottom"/>
          </w:tcPr>
          <w:p>
            <w:pPr>
              <w:spacing w:after="0"/>
              <w:rPr>
                <w:sz w:val="6"/>
                <w:szCs w:val="6"/>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(13)</w:t>
            </w:r>
          </w:p>
        </w:tc>
        <w:tc>
          <w:tcPr>
            <w:tcW w:w="58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vMerge w:val="restart"/>
          </w:tcPr>
          <w:p>
            <w:pPr>
              <w:jc w:val="center"/>
              <w:ind w:right="38"/>
              <w:spacing w:after="0" w:line="214" w:lineRule="exact"/>
              <w:rPr>
                <w:sz w:val="20"/>
                <w:szCs w:val="20"/>
                <w:color w:val="auto"/>
              </w:rPr>
            </w:pPr>
            <w:r>
              <w:rPr>
                <w:rFonts w:ascii="Times New Roman" w:cs="Times New Roman" w:eastAsia="Times New Roman" w:hAnsi="Times New Roman"/>
                <w:sz w:val="13"/>
                <w:szCs w:val="13"/>
                <w:color w:val="0000FF"/>
                <w:w w:val="88"/>
              </w:rPr>
              <w:t>Stock</w:t>
            </w:r>
            <w:r>
              <w:rPr>
                <w:rFonts w:ascii="Times New Roman" w:cs="Times New Roman" w:eastAsia="Times New Roman" w:hAnsi="Times New Roman"/>
                <w:sz w:val="20"/>
                <w:szCs w:val="20"/>
                <w:color w:val="008000"/>
                <w:w w:val="88"/>
                <w:vertAlign w:val="superscript"/>
              </w:rPr>
              <w:t>(9)</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vMerge w:val="continue"/>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0"/>
                <w:szCs w:val="10"/>
                <w:color w:val="008000"/>
              </w:rPr>
              <w:t>(14)</w:t>
            </w:r>
          </w:p>
        </w:tc>
        <w:tc>
          <w:tcPr>
            <w:tcW w:w="280" w:type="dxa"/>
            <w:vAlign w:val="bottom"/>
          </w:tcPr>
          <w:p>
            <w:pPr>
              <w:spacing w:after="0"/>
              <w:rPr>
                <w:sz w:val="15"/>
                <w:szCs w:val="15"/>
                <w:color w:val="auto"/>
              </w:rPr>
            </w:pPr>
          </w:p>
        </w:tc>
        <w:tc>
          <w:tcPr>
            <w:tcW w:w="5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color w:val="008000"/>
              </w:rPr>
              <w:t>(14)</w:t>
            </w: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329,895</w:t>
            </w:r>
            <w:r>
              <w:rPr>
                <w:rFonts w:ascii="Times New Roman" w:cs="Times New Roman" w:eastAsia="Times New Roman" w:hAnsi="Times New Roman"/>
                <w:sz w:val="20"/>
                <w:szCs w:val="20"/>
                <w:color w:val="008000"/>
                <w:w w:val="94"/>
                <w:vertAlign w:val="superscript"/>
              </w:rPr>
              <w:t>(11)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9"/>
              </w:rPr>
              <w:t>329,895</w:t>
            </w:r>
            <w:r>
              <w:rPr>
                <w:rFonts w:ascii="Times New Roman" w:cs="Times New Roman" w:eastAsia="Times New Roman" w:hAnsi="Times New Roman"/>
                <w:sz w:val="20"/>
                <w:szCs w:val="20"/>
                <w:color w:val="008000"/>
                <w:w w:val="89"/>
                <w:vertAlign w:val="superscript"/>
              </w:rPr>
              <w:t>(11)</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80" w:type="dxa"/>
            <w:vAlign w:val="bottom"/>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line="202" w:lineRule="exact"/>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34.88</w:t>
            </w:r>
            <w:r>
              <w:rPr>
                <w:rFonts w:ascii="Times New Roman" w:cs="Times New Roman" w:eastAsia="Times New Roman" w:hAnsi="Times New Roman"/>
                <w:sz w:val="20"/>
                <w:szCs w:val="20"/>
                <w:color w:val="008000"/>
                <w:w w:val="93"/>
                <w:vertAlign w:val="superscript"/>
              </w:rPr>
              <w:t>(15)</w:t>
            </w: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0"/>
                <w:szCs w:val="10"/>
                <w:color w:val="008000"/>
              </w:rPr>
              <w:t>(16)</w:t>
            </w: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4"/>
              </w:rPr>
              <w:t>203,690</w:t>
            </w:r>
            <w:r>
              <w:rPr>
                <w:rFonts w:ascii="Times New Roman" w:cs="Times New Roman" w:eastAsia="Times New Roman" w:hAnsi="Times New Roman"/>
                <w:sz w:val="20"/>
                <w:szCs w:val="20"/>
                <w:color w:val="008000"/>
                <w:w w:val="94"/>
                <w:vertAlign w:val="superscript"/>
              </w:rPr>
              <w:t>(15)</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3"/>
                <w:szCs w:val="13"/>
                <w:color w:val="0000FF"/>
                <w:w w:val="92"/>
              </w:rPr>
              <w:t>203,690</w:t>
            </w:r>
            <w:r>
              <w:rPr>
                <w:rFonts w:ascii="Times New Roman" w:cs="Times New Roman" w:eastAsia="Times New Roman" w:hAnsi="Times New Roman"/>
                <w:sz w:val="20"/>
                <w:szCs w:val="20"/>
                <w:color w:val="008000"/>
                <w:w w:val="92"/>
                <w:vertAlign w:val="superscript"/>
              </w:rPr>
              <w:t>(15)</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03/14/2032</w:t>
            </w:r>
          </w:p>
        </w:tc>
        <w:tc>
          <w:tcPr>
            <w:tcW w:w="580" w:type="dxa"/>
            <w:vAlign w:val="bottom"/>
            <w:vMerge w:val="restart"/>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7"/>
              </w:rPr>
              <w:t>Class A</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line="202" w:lineRule="exact"/>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39.36</w:t>
            </w:r>
            <w:r>
              <w:rPr>
                <w:rFonts w:ascii="Times New Roman" w:cs="Times New Roman" w:eastAsia="Times New Roman" w:hAnsi="Times New Roman"/>
                <w:sz w:val="20"/>
                <w:szCs w:val="20"/>
                <w:color w:val="008000"/>
                <w:w w:val="93"/>
                <w:vertAlign w:val="superscript"/>
              </w:rPr>
              <w:t>(15)</w:t>
            </w: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0"/>
                <w:szCs w:val="10"/>
                <w:color w:val="008000"/>
              </w:rPr>
              <w:t>(16)</w:t>
            </w: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4"/>
              </w:rPr>
              <w:t>171,679</w:t>
            </w:r>
            <w:r>
              <w:rPr>
                <w:rFonts w:ascii="Times New Roman" w:cs="Times New Roman" w:eastAsia="Times New Roman" w:hAnsi="Times New Roman"/>
                <w:sz w:val="20"/>
                <w:szCs w:val="20"/>
                <w:color w:val="008000"/>
                <w:w w:val="94"/>
                <w:vertAlign w:val="superscript"/>
              </w:rPr>
              <w:t>(15)</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center"/>
              <w:spacing w:after="0" w:line="202" w:lineRule="exact"/>
              <w:rPr>
                <w:sz w:val="20"/>
                <w:szCs w:val="20"/>
                <w:color w:val="auto"/>
              </w:rPr>
            </w:pPr>
            <w:r>
              <w:rPr>
                <w:rFonts w:ascii="Times New Roman" w:cs="Times New Roman" w:eastAsia="Times New Roman" w:hAnsi="Times New Roman"/>
                <w:sz w:val="13"/>
                <w:szCs w:val="13"/>
                <w:color w:val="0000FF"/>
                <w:w w:val="92"/>
              </w:rPr>
              <w:t>171,679</w:t>
            </w:r>
            <w:r>
              <w:rPr>
                <w:rFonts w:ascii="Times New Roman" w:cs="Times New Roman" w:eastAsia="Times New Roman" w:hAnsi="Times New Roman"/>
                <w:sz w:val="20"/>
                <w:szCs w:val="20"/>
                <w:color w:val="008000"/>
                <w:w w:val="92"/>
                <w:vertAlign w:val="superscript"/>
              </w:rPr>
              <w:t>(15)</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05/20/2032</w:t>
            </w:r>
          </w:p>
        </w:tc>
        <w:tc>
          <w:tcPr>
            <w:tcW w:w="580" w:type="dxa"/>
            <w:vAlign w:val="bottom"/>
            <w:vMerge w:val="restart"/>
          </w:tcPr>
          <w:p>
            <w:pPr>
              <w:jc w:val="center"/>
              <w:ind w:right="18"/>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4"/>
              </w:rPr>
              <w:t>Stock</w:t>
            </w: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-5857875</wp:posOffset>
            </wp:positionV>
            <wp:extent cx="28575" cy="596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5962015"/>
                    </a:xfrm>
                    <a:prstGeom prst="rect">
                      <a:avLst/>
                    </a:prstGeom>
                    <a:noFill/>
                  </pic:spPr>
                </pic:pic>
              </a:graphicData>
            </a:graphic>
          </wp:anchor>
        </w:drawing>
      </w:r>
    </w:p>
    <w:p>
      <w:pPr>
        <w:sectPr>
          <w:pgSz w:w="11900" w:h="16838" w:orient="portrait"/>
          <w:cols w:equalWidth="0" w:num="1">
            <w:col w:w="11080"/>
          </w:cols>
          <w:pgMar w:left="460" w:top="215"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1969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865" cy="1969135"/>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72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180"/>
              <w:spacing w:after="0" w:line="20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16.28</w:t>
            </w:r>
            <w:r>
              <w:rPr>
                <w:rFonts w:ascii="Times New Roman" w:cs="Times New Roman" w:eastAsia="Times New Roman" w:hAnsi="Times New Roman"/>
                <w:sz w:val="20"/>
                <w:szCs w:val="20"/>
                <w:color w:val="008000"/>
                <w:vertAlign w:val="superscript"/>
              </w:rPr>
              <w:t>(15)</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(16)</w:t>
            </w: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6"/>
                <w:szCs w:val="16"/>
                <w:color w:val="0000FF"/>
                <w:w w:val="99"/>
              </w:rPr>
              <w:t>140,171</w:t>
            </w:r>
            <w:r>
              <w:rPr>
                <w:rFonts w:ascii="Times New Roman" w:cs="Times New Roman" w:eastAsia="Times New Roman" w:hAnsi="Times New Roman"/>
                <w:sz w:val="20"/>
                <w:szCs w:val="20"/>
                <w:color w:val="008000"/>
                <w:w w:val="99"/>
                <w:vertAlign w:val="superscript"/>
              </w:rPr>
              <w:t>(15)</w:t>
            </w:r>
          </w:p>
        </w:tc>
        <w:tc>
          <w:tcPr>
            <w:tcW w:w="680" w:type="dxa"/>
            <w:vAlign w:val="bottom"/>
          </w:tcPr>
          <w:p>
            <w:pPr>
              <w:spacing w:after="0"/>
              <w:rPr>
                <w:sz w:val="5"/>
                <w:szCs w:val="5"/>
                <w:color w:val="auto"/>
              </w:rPr>
            </w:pPr>
          </w:p>
        </w:tc>
        <w:tc>
          <w:tcPr>
            <w:tcW w:w="920" w:type="dxa"/>
            <w:vAlign w:val="bottom"/>
            <w:vMerge w:val="restart"/>
          </w:tcPr>
          <w:p>
            <w:pPr>
              <w:ind w:left="160"/>
              <w:spacing w:after="0" w:line="202" w:lineRule="exact"/>
              <w:rPr>
                <w:sz w:val="20"/>
                <w:szCs w:val="20"/>
                <w:color w:val="auto"/>
              </w:rPr>
            </w:pPr>
            <w:r>
              <w:rPr>
                <w:rFonts w:ascii="Times New Roman" w:cs="Times New Roman" w:eastAsia="Times New Roman" w:hAnsi="Times New Roman"/>
                <w:sz w:val="13"/>
                <w:szCs w:val="13"/>
                <w:color w:val="0000FF"/>
              </w:rPr>
              <w:t>140,171</w:t>
            </w:r>
            <w:r>
              <w:rPr>
                <w:rFonts w:ascii="Times New Roman" w:cs="Times New Roman" w:eastAsia="Times New Roman" w:hAnsi="Times New Roman"/>
                <w:sz w:val="20"/>
                <w:szCs w:val="20"/>
                <w:color w:val="008000"/>
                <w:vertAlign w:val="superscript"/>
              </w:rPr>
              <w:t>(15)</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03/14/2033</w:t>
            </w:r>
          </w:p>
        </w:tc>
        <w:tc>
          <w:tcPr>
            <w:tcW w:w="6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72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right="30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beneficially owned reflects the 1-for-4 reverse stock split effected June 30, 2026 (the "Reverse Stock Split"). Cash was paid in lieu of any fractional shares resulting from the Reverse Stock Split.</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is convertible into one share of Class A Common Stock.</w:t>
      </w:r>
    </w:p>
    <w:p>
      <w:pPr>
        <w:spacing w:after="0" w:line="39" w:lineRule="exact"/>
        <w:rPr>
          <w:rFonts w:ascii="Times New Roman" w:cs="Times New Roman" w:eastAsia="Times New Roman" w:hAnsi="Times New Roman"/>
          <w:sz w:val="13"/>
          <w:szCs w:val="13"/>
          <w:color w:val="008000"/>
        </w:rPr>
      </w:pPr>
    </w:p>
    <w:p>
      <w:pPr>
        <w:ind w:left="20" w:right="32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which may be issued at target under the PSU, granted March 15, 2024, over a period of time following achievement of certain EBITDA targets as set forth in the applicable PSU agreement, subject to the Reporting Person's continued service to the Issuer as of each vesting date.</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subject to PSUs reflects the Reverse Stock Split.</w:t>
      </w:r>
    </w:p>
    <w:p>
      <w:pPr>
        <w:spacing w:after="0" w:line="39" w:lineRule="exact"/>
        <w:rPr>
          <w:rFonts w:ascii="Times New Roman" w:cs="Times New Roman" w:eastAsia="Times New Roman" w:hAnsi="Times New Roman"/>
          <w:sz w:val="13"/>
          <w:szCs w:val="13"/>
          <w:color w:val="008000"/>
        </w:rPr>
      </w:pPr>
    </w:p>
    <w:p>
      <w:pPr>
        <w:ind w:left="20" w:right="32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which may be issued at target under the PSU, granted March 15, 2025, over a period of time following achievement of certain EBITDA targets as set forth in the applicable PSU agreement, subject to the Reporting Person's continued service to the Issuer as of each vesting date</w:t>
      </w:r>
    </w:p>
    <w:p>
      <w:pPr>
        <w:spacing w:after="0" w:line="21" w:lineRule="exact"/>
        <w:rPr>
          <w:rFonts w:ascii="Times New Roman" w:cs="Times New Roman" w:eastAsia="Times New Roman" w:hAnsi="Times New Roman"/>
          <w:sz w:val="13"/>
          <w:szCs w:val="13"/>
          <w:color w:val="008000"/>
        </w:rPr>
      </w:pPr>
    </w:p>
    <w:p>
      <w:pPr>
        <w:ind w:left="20" w:right="50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which may be issued at target under the PSU, granted March 15, 2024, over a period of time following achievement of certain profit targets as set forth in the applicable PSU agreement, subject to the Reporting Person's continued service to the Issuer as of each vesting date.</w:t>
      </w:r>
    </w:p>
    <w:p>
      <w:pPr>
        <w:spacing w:after="0" w:line="21" w:lineRule="exact"/>
        <w:rPr>
          <w:rFonts w:ascii="Times New Roman" w:cs="Times New Roman" w:eastAsia="Times New Roman" w:hAnsi="Times New Roman"/>
          <w:sz w:val="13"/>
          <w:szCs w:val="13"/>
          <w:color w:val="008000"/>
        </w:rPr>
      </w:pPr>
    </w:p>
    <w:p>
      <w:pPr>
        <w:ind w:left="20" w:right="50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which may be issued at target under the PSU, granted March 15, 2025, over a period of time following achievement of certain profit targets as set forth in the applicable PSU agreement, subject to the Reporting Person's continued service to the Issuer as of each vesting date.</w:t>
      </w:r>
    </w:p>
    <w:p>
      <w:pPr>
        <w:spacing w:after="0" w:line="21" w:lineRule="exact"/>
        <w:rPr>
          <w:rFonts w:ascii="Times New Roman" w:cs="Times New Roman" w:eastAsia="Times New Roman" w:hAnsi="Times New Roman"/>
          <w:sz w:val="13"/>
          <w:szCs w:val="13"/>
          <w:color w:val="008000"/>
        </w:rPr>
      </w:pPr>
    </w:p>
    <w:p>
      <w:pPr>
        <w:ind w:left="20" w:right="18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which may be issued at target under the PSU, granted March 16, 2026, over a period of time following achievement of certain gross profit and adjusted EBITDA targets as set forth in the applicable PSU agreement, subject to the Reporting Person's continued service to the Issuer as of each vesting date. At maximum achievement, 200% of the shares would vest.</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is convertible into one share of Class A Common Stock.</w:t>
      </w:r>
    </w:p>
    <w:p>
      <w:pPr>
        <w:spacing w:after="0" w:line="39" w:lineRule="exact"/>
        <w:rPr>
          <w:rFonts w:ascii="Times New Roman" w:cs="Times New Roman" w:eastAsia="Times New Roman" w:hAnsi="Times New Roman"/>
          <w:sz w:val="13"/>
          <w:szCs w:val="13"/>
          <w:color w:val="008000"/>
        </w:rPr>
      </w:pPr>
    </w:p>
    <w:p>
      <w:pPr>
        <w:ind w:left="20" w:right="440" w:hanging="2"/>
        <w:spacing w:after="0" w:line="284" w:lineRule="auto"/>
        <w:tabs>
          <w:tab w:leader="none" w:pos="2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RSU grant, originally granted March 15, 2024 for 149,278 RSUs (post Reverse Stock Split), of which 111,959 RSUs have vested, vested as to one-twelfth (1/12th) of the RSUs on June 1, 2024 and one-twelfth (1/12th) of the remaining RSUs vest quarterly on each September 1, December 1, March 1 and June 1 thereafter, subject to the Reporting Person's continued service to the Issuer as of each vesting date.</w:t>
      </w:r>
    </w:p>
    <w:p>
      <w:pPr>
        <w:ind w:left="200" w:hanging="182"/>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subject to RSUs reflects the Reverse Stock Split.</w:t>
      </w:r>
    </w:p>
    <w:p>
      <w:pPr>
        <w:spacing w:after="0" w:line="39" w:lineRule="exact"/>
        <w:rPr>
          <w:rFonts w:ascii="Times New Roman" w:cs="Times New Roman" w:eastAsia="Times New Roman" w:hAnsi="Times New Roman"/>
          <w:sz w:val="13"/>
          <w:szCs w:val="13"/>
          <w:color w:val="008000"/>
        </w:rPr>
      </w:pPr>
    </w:p>
    <w:p>
      <w:pPr>
        <w:ind w:left="20" w:right="200" w:hanging="2"/>
        <w:spacing w:after="0" w:line="235" w:lineRule="auto"/>
        <w:tabs>
          <w:tab w:leader="none" w:pos="20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grant, originally granted March 15, 2025 for 125,509 RSUs (post Reverse Stock Split), of which 52,295 RSUs (post Reverse Stock Split) have vested, vested as to one-twelfth (1/12th) of the RSUs on June 1, 2025 and one-twelfth (1/12th) of the remaining restricted stock units vest quarterly on each September 1, December 1, March 1 and June 1 thereafter, subject to the Reporting Person's continued service to the Issuer as of each vesting date.</w:t>
      </w:r>
    </w:p>
    <w:p>
      <w:pPr>
        <w:spacing w:after="0" w:line="26" w:lineRule="exact"/>
        <w:rPr>
          <w:rFonts w:ascii="Times New Roman" w:cs="Times New Roman" w:eastAsia="Times New Roman" w:hAnsi="Times New Roman"/>
          <w:sz w:val="13"/>
          <w:szCs w:val="13"/>
          <w:color w:val="008000"/>
        </w:rPr>
      </w:pPr>
    </w:p>
    <w:p>
      <w:pPr>
        <w:ind w:left="20" w:right="220" w:hanging="2"/>
        <w:spacing w:after="0" w:line="235" w:lineRule="auto"/>
        <w:tabs>
          <w:tab w:leader="none" w:pos="20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grant, originally granted September 15, 2025 for 204,315 RSUs (post Reverse Stock Split), of which 51,079 RSUs (post Reverse Stock Split) have vested, vested as to one-twelfth (1/12th) of the RSUs on December 1, 2025 and one-twelfth (1/12th) of the remaining restricted stock units vest quarterly on each March 1 and June 1, September 1 and December 1 thereafter, subject to the Reporting Person's continued service to the Issuer as of each vesting date.</w:t>
      </w:r>
    </w:p>
    <w:p>
      <w:pPr>
        <w:spacing w:after="0" w:line="26" w:lineRule="exact"/>
        <w:rPr>
          <w:rFonts w:ascii="Times New Roman" w:cs="Times New Roman" w:eastAsia="Times New Roman" w:hAnsi="Times New Roman"/>
          <w:sz w:val="13"/>
          <w:szCs w:val="13"/>
          <w:color w:val="008000"/>
        </w:rPr>
      </w:pPr>
    </w:p>
    <w:p>
      <w:pPr>
        <w:ind w:left="20" w:right="200" w:hanging="2"/>
        <w:spacing w:after="0" w:line="235" w:lineRule="auto"/>
        <w:tabs>
          <w:tab w:leader="none" w:pos="20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grant, originally granted March 16, 2026 for 359,886 RSUs (post Reverse Stock Split), of which 29,991 RSUs (post Reverse Stock Split) have vested, vested as to one-twelfth (1/12th) of the RSUs on June 1, 2026 and one-twelfth (1/12th) of the remaining restricted stock units vest quarterly on each September 1, December 1, March 1 and June 1 thereafter, subject to the Reporting Person's continued service to the Issuer as of each vesting date.</w:t>
      </w:r>
    </w:p>
    <w:p>
      <w:pPr>
        <w:spacing w:after="0" w:line="26" w:lineRule="exact"/>
        <w:rPr>
          <w:rFonts w:ascii="Times New Roman" w:cs="Times New Roman" w:eastAsia="Times New Roman" w:hAnsi="Times New Roman"/>
          <w:sz w:val="13"/>
          <w:szCs w:val="13"/>
          <w:color w:val="008000"/>
        </w:rPr>
      </w:pPr>
    </w:p>
    <w:p>
      <w:pPr>
        <w:ind w:left="200" w:hanging="182"/>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 share exercise price and number of shares subject to the option reflect the Reverse Stock Split.</w:t>
      </w:r>
    </w:p>
    <w:p>
      <w:pPr>
        <w:spacing w:after="0" w:line="39" w:lineRule="exact"/>
        <w:rPr>
          <w:rFonts w:ascii="Times New Roman" w:cs="Times New Roman" w:eastAsia="Times New Roman" w:hAnsi="Times New Roman"/>
          <w:sz w:val="13"/>
          <w:szCs w:val="13"/>
          <w:color w:val="008000"/>
        </w:rPr>
      </w:pPr>
    </w:p>
    <w:p>
      <w:pPr>
        <w:ind w:left="200" w:hanging="182"/>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subject to this option are fully vested and exercisable as of the date hereof.</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07/02/2026</w:t>
            </w: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6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 w:type="dxa"/>
            <w:vAlign w:val="bottom"/>
            <w:tcBorders>
              <w:bottom w:val="single" w:sz="8" w:color="auto"/>
            </w:tcBorders>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60" w:hanging="2"/>
        <w:spacing w:after="0" w:line="328"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13038"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2026-07-02T16:56:48Z</dcterms:created>
  <dcterms:modified xsi:type="dcterms:W3CDTF">2026-07-02T16:56:48Z</dcterms:modified>
</cp:coreProperties>
</file>