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182245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51435</wp:posOffset>
            </wp:positionV>
            <wp:extent cx="1979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200" w:right="1680" w:hanging="3174"/>
        <w:spacing w:after="0" w:line="328" w:lineRule="auto"/>
        <w:tabs>
          <w:tab w:leader="none" w:pos="3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001-40465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69215</wp:posOffset>
            </wp:positionV>
            <wp:extent cx="1979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57785</wp:posOffset>
            </wp:positionV>
            <wp:extent cx="1979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60" w:type="dxa"/>
            <w:vAlign w:val="bottom"/>
            <w:gridSpan w:val="4"/>
          </w:tcPr>
          <w:p>
            <w:pPr>
              <w:jc w:val="center"/>
              <w:ind w:left="604"/>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60" w:type="dxa"/>
            <w:vAlign w:val="bottom"/>
          </w:tcPr>
          <w:p>
            <w:pPr>
              <w:jc w:val="right"/>
              <w:ind w:right="2243"/>
              <w:spacing w:after="0"/>
              <w:rPr>
                <w:sz w:val="20"/>
                <w:szCs w:val="20"/>
                <w:color w:val="auto"/>
              </w:rPr>
            </w:pPr>
            <w:r>
              <w:rPr>
                <w:rFonts w:ascii="Arial" w:cs="Arial" w:eastAsia="Arial" w:hAnsi="Arial"/>
                <w:sz w:val="18"/>
                <w:szCs w:val="18"/>
                <w:b w:val="1"/>
                <w:bCs w:val="1"/>
                <w:color w:val="auto"/>
              </w:rPr>
              <w:t>27-4306690</w:t>
            </w:r>
          </w:p>
        </w:tc>
      </w:tr>
      <w:tr>
        <w:trPr>
          <w:trHeight w:val="190"/>
        </w:trPr>
        <w:tc>
          <w:tcPr>
            <w:tcW w:w="4960" w:type="dxa"/>
            <w:vAlign w:val="bottom"/>
            <w:gridSpan w:val="4"/>
          </w:tcPr>
          <w:p>
            <w:pPr>
              <w:jc w:val="center"/>
              <w:ind w:left="604"/>
              <w:spacing w:after="0"/>
              <w:rPr>
                <w:sz w:val="20"/>
                <w:szCs w:val="20"/>
                <w:color w:val="auto"/>
              </w:rPr>
            </w:pPr>
            <w:r>
              <w:rPr>
                <w:rFonts w:ascii="Arial" w:cs="Arial" w:eastAsia="Arial" w:hAnsi="Arial"/>
                <w:sz w:val="14"/>
                <w:szCs w:val="14"/>
                <w:color w:val="auto"/>
              </w:rPr>
              <w:t>(State or other jurisdiction of incorporation or organization)</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60" w:type="dxa"/>
            <w:vAlign w:val="bottom"/>
          </w:tcPr>
          <w:p>
            <w:pPr>
              <w:jc w:val="center"/>
              <w:ind w:right="1483"/>
              <w:spacing w:after="0"/>
              <w:rPr>
                <w:sz w:val="20"/>
                <w:szCs w:val="20"/>
                <w:color w:val="auto"/>
              </w:rPr>
            </w:pPr>
            <w:r>
              <w:rPr>
                <w:rFonts w:ascii="Arial" w:cs="Arial" w:eastAsia="Arial" w:hAnsi="Arial"/>
                <w:sz w:val="14"/>
                <w:szCs w:val="14"/>
                <w:color w:val="auto"/>
              </w:rPr>
              <w:t>(I.R.S. Employer Identification Number)</w:t>
            </w:r>
          </w:p>
        </w:tc>
      </w:tr>
      <w:tr>
        <w:trPr>
          <w:trHeight w:val="296"/>
        </w:trPr>
        <w:tc>
          <w:tcPr>
            <w:tcW w:w="4960" w:type="dxa"/>
            <w:vAlign w:val="bottom"/>
            <w:gridSpan w:val="4"/>
          </w:tcPr>
          <w:p>
            <w:pPr>
              <w:jc w:val="center"/>
              <w:ind w:left="584"/>
              <w:spacing w:after="0"/>
              <w:rPr>
                <w:sz w:val="20"/>
                <w:szCs w:val="20"/>
                <w:color w:val="auto"/>
              </w:rPr>
            </w:pPr>
            <w:r>
              <w:rPr>
                <w:rFonts w:ascii="Arial" w:cs="Arial" w:eastAsia="Arial" w:hAnsi="Arial"/>
                <w:sz w:val="18"/>
                <w:szCs w:val="18"/>
                <w:b w:val="1"/>
                <w:bCs w:val="1"/>
                <w:color w:val="auto"/>
                <w:w w:val="99"/>
              </w:rPr>
              <w:t>180 Grand Avenue, 6th Floor, Oakland, California</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jc w:val="right"/>
              <w:ind w:right="2483"/>
              <w:spacing w:after="0"/>
              <w:rPr>
                <w:sz w:val="20"/>
                <w:szCs w:val="20"/>
                <w:color w:val="auto"/>
              </w:rPr>
            </w:pPr>
            <w:r>
              <w:rPr>
                <w:rFonts w:ascii="Arial" w:cs="Arial" w:eastAsia="Arial" w:hAnsi="Arial"/>
                <w:sz w:val="18"/>
                <w:szCs w:val="18"/>
                <w:b w:val="1"/>
                <w:bCs w:val="1"/>
                <w:color w:val="auto"/>
              </w:rPr>
              <w:t>94612</w:t>
            </w:r>
          </w:p>
        </w:tc>
      </w:tr>
      <w:tr>
        <w:trPr>
          <w:trHeight w:val="190"/>
        </w:trPr>
        <w:tc>
          <w:tcPr>
            <w:tcW w:w="4960" w:type="dxa"/>
            <w:vAlign w:val="bottom"/>
            <w:gridSpan w:val="4"/>
          </w:tcPr>
          <w:p>
            <w:pPr>
              <w:jc w:val="center"/>
              <w:ind w:left="584"/>
              <w:spacing w:after="0"/>
              <w:rPr>
                <w:sz w:val="20"/>
                <w:szCs w:val="20"/>
                <w:color w:val="auto"/>
              </w:rPr>
            </w:pPr>
            <w:r>
              <w:rPr>
                <w:rFonts w:ascii="Arial" w:cs="Arial" w:eastAsia="Arial" w:hAnsi="Arial"/>
                <w:sz w:val="14"/>
                <w:szCs w:val="14"/>
                <w:color w:val="auto"/>
              </w:rPr>
              <w:t>(Address of principal executive offices)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60" w:type="dxa"/>
            <w:vAlign w:val="bottom"/>
          </w:tcPr>
          <w:p>
            <w:pPr>
              <w:jc w:val="center"/>
              <w:ind w:right="1463"/>
              <w:spacing w:after="0"/>
              <w:rPr>
                <w:sz w:val="20"/>
                <w:szCs w:val="20"/>
                <w:color w:val="auto"/>
              </w:rPr>
            </w:pPr>
            <w:r>
              <w:rPr>
                <w:rFonts w:ascii="Arial" w:cs="Arial" w:eastAsia="Arial" w:hAnsi="Arial"/>
                <w:sz w:val="14"/>
                <w:szCs w:val="14"/>
                <w:color w:val="auto"/>
              </w:rPr>
              <w:t>(Zip Code)</w:t>
            </w:r>
          </w:p>
        </w:tc>
      </w:tr>
      <w:tr>
        <w:trPr>
          <w:trHeight w:val="350"/>
        </w:trPr>
        <w:tc>
          <w:tcPr>
            <w:tcW w:w="4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42"/>
              <w:spacing w:after="0"/>
              <w:rPr>
                <w:sz w:val="20"/>
                <w:szCs w:val="20"/>
                <w:color w:val="auto"/>
              </w:rPr>
            </w:pPr>
            <w:r>
              <w:rPr>
                <w:rFonts w:ascii="Arial" w:cs="Arial" w:eastAsia="Arial" w:hAnsi="Arial"/>
                <w:sz w:val="18"/>
                <w:szCs w:val="18"/>
                <w:b w:val="1"/>
                <w:bCs w:val="1"/>
                <w:color w:val="auto"/>
              </w:rPr>
              <w:t>(510) 671-5437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0"/>
        </w:trPr>
        <w:tc>
          <w:tcPr>
            <w:tcW w:w="11240" w:type="dxa"/>
            <w:vAlign w:val="bottom"/>
            <w:gridSpan w:val="8"/>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76"/>
        </w:trPr>
        <w:tc>
          <w:tcPr>
            <w:tcW w:w="406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r>
      <w:tr>
        <w:trPr>
          <w:trHeight w:val="269"/>
        </w:trPr>
        <w:tc>
          <w:tcPr>
            <w:tcW w:w="11240" w:type="dxa"/>
            <w:vAlign w:val="bottom"/>
            <w:gridSpan w:val="8"/>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28"/>
        </w:trPr>
        <w:tc>
          <w:tcPr>
            <w:tcW w:w="4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Title of each class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Trading Symbol(s)</w:t>
            </w: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center"/>
              <w:ind w:right="623"/>
              <w:spacing w:after="0"/>
              <w:rPr>
                <w:sz w:val="20"/>
                <w:szCs w:val="20"/>
                <w:color w:val="auto"/>
              </w:rPr>
            </w:pPr>
            <w:r>
              <w:rPr>
                <w:rFonts w:ascii="Arial" w:cs="Arial" w:eastAsia="Arial" w:hAnsi="Arial"/>
                <w:sz w:val="14"/>
                <w:szCs w:val="14"/>
                <w:color w:val="auto"/>
              </w:rPr>
              <w:t>Name of each exchange on which registered</w:t>
            </w:r>
          </w:p>
        </w:tc>
      </w:tr>
      <w:tr>
        <w:trPr>
          <w:trHeight w:val="198"/>
        </w:trPr>
        <w:tc>
          <w:tcPr>
            <w:tcW w:w="4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2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7"/>
              </w:rPr>
              <w:t>MQ</w:t>
            </w:r>
          </w:p>
        </w:tc>
        <w:tc>
          <w:tcPr>
            <w:tcW w:w="4060" w:type="dxa"/>
            <w:vAlign w:val="bottom"/>
          </w:tcPr>
          <w:p>
            <w:pPr>
              <w:jc w:val="center"/>
              <w:ind w:right="623"/>
              <w:spacing w:after="0"/>
              <w:rPr>
                <w:sz w:val="20"/>
                <w:szCs w:val="20"/>
                <w:color w:val="auto"/>
              </w:rPr>
            </w:pPr>
            <w:r>
              <w:rPr>
                <w:rFonts w:ascii="Arial" w:cs="Arial" w:eastAsia="Arial" w:hAnsi="Arial"/>
                <w:sz w:val="14"/>
                <w:szCs w:val="14"/>
                <w:b w:val="1"/>
                <w:bCs w:val="1"/>
                <w:color w:val="auto"/>
              </w:rPr>
              <w:t>The Nasdaq Stock Market LLC</w:t>
            </w:r>
          </w:p>
        </w:tc>
      </w:tr>
      <w:tr>
        <w:trPr>
          <w:trHeight w:val="203"/>
        </w:trPr>
        <w:tc>
          <w:tcPr>
            <w:tcW w:w="4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60" w:type="dxa"/>
            <w:vAlign w:val="bottom"/>
          </w:tcPr>
          <w:p>
            <w:pPr>
              <w:jc w:val="center"/>
              <w:ind w:right="623"/>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of 1933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3"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29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64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7" w:lineRule="exact"/>
        <w:rPr>
          <w:sz w:val="24"/>
          <w:szCs w:val="24"/>
          <w:color w:val="auto"/>
        </w:rPr>
      </w:pPr>
    </w:p>
    <w:p>
      <w:pPr>
        <w:jc w:val="both"/>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right="4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right="2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jc w:val="both"/>
        <w:spacing w:after="0" w:line="276"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on June 30, 2025, the last business day of its most recently completed second fiscal quarter, was $2.3 billion based on the closing sales price of the registrant’s Class A common stock on that date.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spacing w:after="0" w:line="69"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auto"/>
        </w:rPr>
        <w:t>As of February 20, 2026, there were 394,378,510 shares of the registrant's Class A common stock, par value $0.0001 per share, outstanding and 32,833,382 shares of the registrant's Class B common stock, par value $0.0001 per share, outstanding.</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3" w:lineRule="exact"/>
        <w:rPr>
          <w:sz w:val="24"/>
          <w:szCs w:val="24"/>
          <w:color w:val="auto"/>
        </w:rPr>
      </w:pPr>
    </w:p>
    <w:p>
      <w:pPr>
        <w:ind w:right="140"/>
        <w:spacing w:after="0" w:line="284" w:lineRule="auto"/>
        <w:rPr>
          <w:sz w:val="20"/>
          <w:szCs w:val="20"/>
          <w:color w:val="auto"/>
        </w:rPr>
      </w:pPr>
      <w:r>
        <w:rPr>
          <w:rFonts w:ascii="Arial" w:cs="Arial" w:eastAsia="Arial" w:hAnsi="Arial"/>
          <w:sz w:val="14"/>
          <w:szCs w:val="14"/>
          <w:color w:val="auto"/>
        </w:rPr>
        <w:t>Portions of the registrant’s Proxy Statement for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0" w:right="339" w:bottom="98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gridSpan w:val="10"/>
          </w:tcPr>
          <w:p>
            <w:pPr>
              <w:jc w:val="center"/>
              <w:ind w:right="3940"/>
              <w:spacing w:after="0"/>
              <w:rPr>
                <w:sz w:val="20"/>
                <w:szCs w:val="20"/>
                <w:color w:val="auto"/>
              </w:rPr>
            </w:pPr>
            <w:r>
              <w:rPr>
                <w:rFonts w:ascii="Arial" w:cs="Arial" w:eastAsia="Arial" w:hAnsi="Arial"/>
                <w:sz w:val="18"/>
                <w:szCs w:val="18"/>
                <w:b w:val="1"/>
                <w:bCs w:val="1"/>
                <w:color w:val="auto"/>
                <w:w w:val="99"/>
              </w:rPr>
              <w:t>MARQETA, INC.</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4060"/>
              <w:spacing w:after="0"/>
              <w:rPr>
                <w:sz w:val="20"/>
                <w:szCs w:val="20"/>
                <w:color w:val="auto"/>
              </w:rPr>
            </w:pPr>
            <w:r>
              <w:rPr>
                <w:rFonts w:ascii="Arial" w:cs="Arial" w:eastAsia="Arial" w:hAnsi="Arial"/>
                <w:sz w:val="18"/>
                <w:szCs w:val="18"/>
                <w:b w:val="1"/>
                <w:bCs w:val="1"/>
                <w:color w:val="auto"/>
                <w:w w:val="98"/>
              </w:rPr>
              <w:t>FORM 10-K</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80" w:type="dxa"/>
            <w:vAlign w:val="bottom"/>
            <w:gridSpan w:val="11"/>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9"/>
          </w:tcPr>
          <w:p>
            <w:pPr>
              <w:ind w:left="20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10300" w:type="dxa"/>
            <w:vAlign w:val="bottom"/>
            <w:gridSpan w:val="29"/>
          </w:tcPr>
          <w:p>
            <w:pPr>
              <w:spacing w:after="0"/>
              <w:rPr>
                <w:sz w:val="20"/>
                <w:szCs w:val="20"/>
                <w:color w:val="auto"/>
              </w:rPr>
            </w:pPr>
            <w:r>
              <w:rPr>
                <w:rFonts w:ascii="Arial" w:cs="Arial" w:eastAsia="Arial" w:hAnsi="Arial"/>
                <w:sz w:val="18"/>
                <w:szCs w:val="18"/>
                <w:color w:val="0000FF"/>
              </w:rPr>
              <w:t>Note About Forward-Looking Statements</w:t>
            </w:r>
          </w:p>
        </w:tc>
        <w:tc>
          <w:tcPr>
            <w:tcW w:w="200" w:type="dxa"/>
            <w:vAlign w:val="bottom"/>
          </w:tcPr>
          <w:p>
            <w:pPr>
              <w:spacing w:after="0"/>
              <w:rPr>
                <w:sz w:val="18"/>
                <w:szCs w:val="18"/>
                <w:color w:val="auto"/>
              </w:rPr>
            </w:pPr>
          </w:p>
        </w:tc>
        <w:tc>
          <w:tcPr>
            <w:tcW w:w="300" w:type="dxa"/>
            <w:vAlign w:val="bottom"/>
            <w:tcBorders>
              <w:top w:val="single" w:sz="8" w:color="auto"/>
            </w:tcBorders>
            <w:gridSpan w:val="5"/>
          </w:tcPr>
          <w:p>
            <w:pPr>
              <w:jc w:val="center"/>
              <w:ind w:left="30"/>
              <w:spacing w:after="0"/>
              <w:rPr>
                <w:sz w:val="20"/>
                <w:szCs w:val="20"/>
                <w:color w:val="auto"/>
              </w:rPr>
            </w:pPr>
            <w:r>
              <w:rPr>
                <w:rFonts w:ascii="Arial" w:cs="Arial" w:eastAsia="Arial" w:hAnsi="Arial"/>
                <w:sz w:val="18"/>
                <w:szCs w:val="18"/>
                <w:color w:val="0000FF"/>
                <w:w w:val="99"/>
              </w:rPr>
              <w:t>3</w:t>
            </w: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8"/>
              </w:rPr>
              <w:t>PART I</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0000FF"/>
                <w:w w:val="98"/>
              </w:rPr>
              <w:t>Item 1.</w:t>
            </w:r>
          </w:p>
        </w:tc>
        <w:tc>
          <w:tcPr>
            <w:tcW w:w="680" w:type="dxa"/>
            <w:vAlign w:val="bottom"/>
            <w:gridSpan w:val="4"/>
          </w:tcPr>
          <w:p>
            <w:pPr>
              <w:spacing w:after="0"/>
              <w:rPr>
                <w:sz w:val="16"/>
                <w:szCs w:val="16"/>
                <w:color w:val="auto"/>
              </w:rPr>
            </w:pPr>
          </w:p>
        </w:tc>
        <w:tc>
          <w:tcPr>
            <w:tcW w:w="9060" w:type="dxa"/>
            <w:vAlign w:val="bottom"/>
            <w:gridSpan w:val="24"/>
          </w:tcPr>
          <w:p>
            <w:pPr>
              <w:spacing w:after="0" w:line="195" w:lineRule="exact"/>
              <w:rPr>
                <w:sz w:val="20"/>
                <w:szCs w:val="20"/>
                <w:color w:val="auto"/>
              </w:rPr>
            </w:pPr>
            <w:r>
              <w:rPr>
                <w:rFonts w:ascii="Arial" w:cs="Arial" w:eastAsia="Arial" w:hAnsi="Arial"/>
                <w:sz w:val="18"/>
                <w:szCs w:val="18"/>
                <w:color w:val="0000FF"/>
              </w:rPr>
              <w:t>Business</w:t>
            </w:r>
          </w:p>
        </w:tc>
        <w:tc>
          <w:tcPr>
            <w:tcW w:w="500" w:type="dxa"/>
            <w:vAlign w:val="bottom"/>
            <w:gridSpan w:val="6"/>
          </w:tcPr>
          <w:p>
            <w:pPr>
              <w:jc w:val="center"/>
              <w:ind w:left="230"/>
              <w:spacing w:after="0" w:line="195" w:lineRule="exact"/>
              <w:rPr>
                <w:sz w:val="20"/>
                <w:szCs w:val="20"/>
                <w:color w:val="auto"/>
              </w:rPr>
            </w:pPr>
            <w:r>
              <w:rPr>
                <w:rFonts w:ascii="Arial" w:cs="Arial" w:eastAsia="Arial" w:hAnsi="Arial"/>
                <w:sz w:val="18"/>
                <w:szCs w:val="18"/>
                <w:color w:val="0000FF"/>
                <w:w w:val="99"/>
              </w:rPr>
              <w:t>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580" w:type="dxa"/>
            <w:vAlign w:val="bottom"/>
            <w:gridSpan w:val="2"/>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8060" w:type="dxa"/>
            <w:vAlign w:val="bottom"/>
            <w:gridSpan w:val="20"/>
          </w:tcPr>
          <w:p>
            <w:pPr>
              <w:spacing w:after="0"/>
              <w:rPr>
                <w:sz w:val="18"/>
                <w:szCs w:val="18"/>
                <w:color w:val="auto"/>
              </w:rPr>
            </w:pPr>
          </w:p>
        </w:tc>
        <w:tc>
          <w:tcPr>
            <w:tcW w:w="30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16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1B.</w:t>
            </w:r>
          </w:p>
        </w:tc>
        <w:tc>
          <w:tcPr>
            <w:tcW w:w="580" w:type="dxa"/>
            <w:vAlign w:val="bottom"/>
            <w:gridSpan w:val="2"/>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Unresolved Staff Comments</w:t>
            </w:r>
          </w:p>
        </w:tc>
        <w:tc>
          <w:tcPr>
            <w:tcW w:w="560" w:type="dxa"/>
            <w:vAlign w:val="bottom"/>
            <w:gridSpan w:val="7"/>
          </w:tcPr>
          <w:p>
            <w:pPr>
              <w:jc w:val="center"/>
              <w:ind w:left="150"/>
              <w:spacing w:after="0"/>
              <w:rPr>
                <w:sz w:val="20"/>
                <w:szCs w:val="20"/>
                <w:color w:val="auto"/>
              </w:rPr>
            </w:pPr>
            <w:r>
              <w:rPr>
                <w:rFonts w:ascii="Arial" w:cs="Arial" w:eastAsia="Arial" w:hAnsi="Arial"/>
                <w:sz w:val="18"/>
                <w:szCs w:val="18"/>
                <w:color w:val="0000FF"/>
                <w:w w:val="99"/>
              </w:rPr>
              <w:t>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1"/>
              </w:rPr>
              <w:t>Item 1C.</w:t>
            </w:r>
          </w:p>
        </w:tc>
        <w:tc>
          <w:tcPr>
            <w:tcW w:w="5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17"/>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Cybersecurity</w:t>
            </w:r>
          </w:p>
        </w:tc>
        <w:tc>
          <w:tcPr>
            <w:tcW w:w="7960" w:type="dxa"/>
            <w:vAlign w:val="bottom"/>
            <w:gridSpan w:val="19"/>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680" w:type="dxa"/>
            <w:vAlign w:val="bottom"/>
            <w:gridSpan w:val="4"/>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0000FF"/>
                <w:w w:val="87"/>
              </w:rPr>
              <w:t>Properties</w:t>
            </w:r>
          </w:p>
        </w:tc>
        <w:tc>
          <w:tcPr>
            <w:tcW w:w="8300" w:type="dxa"/>
            <w:vAlign w:val="bottom"/>
            <w:gridSpan w:val="22"/>
          </w:tcPr>
          <w:p>
            <w:pPr>
              <w:spacing w:after="0"/>
              <w:rPr>
                <w:sz w:val="20"/>
                <w:szCs w:val="20"/>
                <w:color w:val="auto"/>
              </w:rPr>
            </w:pPr>
          </w:p>
        </w:tc>
        <w:tc>
          <w:tcPr>
            <w:tcW w:w="300" w:type="dxa"/>
            <w:vAlign w:val="bottom"/>
            <w:gridSpan w:val="3"/>
          </w:tcPr>
          <w:p>
            <w:pPr>
              <w:spacing w:after="0"/>
              <w:rPr>
                <w:sz w:val="20"/>
                <w:szCs w:val="20"/>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44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680" w:type="dxa"/>
            <w:vAlign w:val="bottom"/>
            <w:gridSpan w:val="4"/>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gridSpan w:val="7"/>
          </w:tcPr>
          <w:p>
            <w:pPr>
              <w:jc w:val="center"/>
              <w:ind w:left="150"/>
              <w:spacing w:after="0"/>
              <w:rPr>
                <w:sz w:val="20"/>
                <w:szCs w:val="20"/>
                <w:color w:val="auto"/>
              </w:rPr>
            </w:pPr>
            <w:r>
              <w:rPr>
                <w:rFonts w:ascii="Arial" w:cs="Arial" w:eastAsia="Arial" w:hAnsi="Arial"/>
                <w:sz w:val="18"/>
                <w:szCs w:val="18"/>
                <w:color w:val="0000FF"/>
                <w:w w:val="99"/>
              </w:rPr>
              <w:t>44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680" w:type="dxa"/>
            <w:vAlign w:val="bottom"/>
            <w:gridSpan w:val="4"/>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560" w:type="dxa"/>
            <w:vAlign w:val="bottom"/>
            <w:gridSpan w:val="7"/>
          </w:tcPr>
          <w:p>
            <w:pPr>
              <w:jc w:val="center"/>
              <w:ind w:left="150"/>
              <w:spacing w:after="0"/>
              <w:rPr>
                <w:sz w:val="20"/>
                <w:szCs w:val="20"/>
                <w:color w:val="auto"/>
              </w:rPr>
            </w:pPr>
            <w:r>
              <w:rPr>
                <w:rFonts w:ascii="Arial" w:cs="Arial" w:eastAsia="Arial" w:hAnsi="Arial"/>
                <w:sz w:val="18"/>
                <w:szCs w:val="18"/>
                <w:color w:val="0000FF"/>
                <w:w w:val="99"/>
              </w:rPr>
              <w:t>44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6"/>
              </w:rPr>
              <w:t>PART II</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0000FF"/>
                <w:w w:val="98"/>
              </w:rPr>
              <w:t>Item 5.</w:t>
            </w:r>
          </w:p>
        </w:tc>
        <w:tc>
          <w:tcPr>
            <w:tcW w:w="680" w:type="dxa"/>
            <w:vAlign w:val="bottom"/>
            <w:gridSpan w:val="4"/>
          </w:tcPr>
          <w:p>
            <w:pPr>
              <w:spacing w:after="0"/>
              <w:rPr>
                <w:sz w:val="16"/>
                <w:szCs w:val="16"/>
                <w:color w:val="auto"/>
              </w:rPr>
            </w:pPr>
          </w:p>
        </w:tc>
        <w:tc>
          <w:tcPr>
            <w:tcW w:w="9060" w:type="dxa"/>
            <w:vAlign w:val="bottom"/>
            <w:gridSpan w:val="24"/>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560" w:type="dxa"/>
            <w:vAlign w:val="bottom"/>
            <w:gridSpan w:val="7"/>
          </w:tcPr>
          <w:p>
            <w:pPr>
              <w:jc w:val="center"/>
              <w:ind w:left="150"/>
              <w:spacing w:after="0" w:line="195" w:lineRule="exact"/>
              <w:rPr>
                <w:sz w:val="20"/>
                <w:szCs w:val="20"/>
                <w:color w:val="auto"/>
              </w:rPr>
            </w:pPr>
            <w:r>
              <w:rPr>
                <w:rFonts w:ascii="Arial" w:cs="Arial" w:eastAsia="Arial" w:hAnsi="Arial"/>
                <w:sz w:val="18"/>
                <w:szCs w:val="18"/>
                <w:color w:val="0000FF"/>
                <w:w w:val="99"/>
              </w:rPr>
              <w:t>45</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680" w:type="dxa"/>
            <w:vAlign w:val="bottom"/>
            <w:gridSpan w:val="4"/>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Reserved</w:t>
            </w:r>
          </w:p>
        </w:tc>
        <w:tc>
          <w:tcPr>
            <w:tcW w:w="200" w:type="dxa"/>
            <w:vAlign w:val="bottom"/>
          </w:tcPr>
          <w:p>
            <w:pPr>
              <w:spacing w:after="0"/>
              <w:rPr>
                <w:sz w:val="18"/>
                <w:szCs w:val="18"/>
                <w:color w:val="auto"/>
              </w:rPr>
            </w:pPr>
          </w:p>
        </w:tc>
        <w:tc>
          <w:tcPr>
            <w:tcW w:w="30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46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7.</w:t>
            </w:r>
          </w:p>
        </w:tc>
        <w:tc>
          <w:tcPr>
            <w:tcW w:w="80" w:type="dxa"/>
            <w:vAlign w:val="bottom"/>
          </w:tcPr>
          <w:p>
            <w:pPr>
              <w:spacing w:after="0"/>
              <w:rPr>
                <w:sz w:val="18"/>
                <w:szCs w:val="18"/>
                <w:color w:val="auto"/>
              </w:rPr>
            </w:pPr>
          </w:p>
        </w:tc>
        <w:tc>
          <w:tcPr>
            <w:tcW w:w="600" w:type="dxa"/>
            <w:vAlign w:val="bottom"/>
            <w:gridSpan w:val="3"/>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gridSpan w:val="7"/>
          </w:tcPr>
          <w:p>
            <w:pPr>
              <w:jc w:val="center"/>
              <w:ind w:left="150"/>
              <w:spacing w:after="0"/>
              <w:rPr>
                <w:sz w:val="20"/>
                <w:szCs w:val="20"/>
                <w:color w:val="auto"/>
              </w:rPr>
            </w:pPr>
            <w:r>
              <w:rPr>
                <w:rFonts w:ascii="Arial" w:cs="Arial" w:eastAsia="Arial" w:hAnsi="Arial"/>
                <w:sz w:val="18"/>
                <w:szCs w:val="18"/>
                <w:color w:val="0000FF"/>
                <w:w w:val="99"/>
              </w:rPr>
              <w:t>47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7A.</w:t>
            </w:r>
          </w:p>
        </w:tc>
        <w:tc>
          <w:tcPr>
            <w:tcW w:w="580" w:type="dxa"/>
            <w:vAlign w:val="bottom"/>
            <w:gridSpan w:val="2"/>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60" w:type="dxa"/>
            <w:vAlign w:val="bottom"/>
            <w:gridSpan w:val="7"/>
          </w:tcPr>
          <w:p>
            <w:pPr>
              <w:jc w:val="center"/>
              <w:ind w:left="150"/>
              <w:spacing w:after="0"/>
              <w:rPr>
                <w:sz w:val="20"/>
                <w:szCs w:val="20"/>
                <w:color w:val="auto"/>
              </w:rPr>
            </w:pPr>
            <w:r>
              <w:rPr>
                <w:rFonts w:ascii="Arial" w:cs="Arial" w:eastAsia="Arial" w:hAnsi="Arial"/>
                <w:sz w:val="18"/>
                <w:szCs w:val="18"/>
                <w:color w:val="0000FF"/>
                <w:w w:val="99"/>
              </w:rPr>
              <w:t>62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8.</w:t>
            </w:r>
          </w:p>
        </w:tc>
        <w:tc>
          <w:tcPr>
            <w:tcW w:w="10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3720" w:type="dxa"/>
            <w:vAlign w:val="bottom"/>
            <w:gridSpan w:val="15"/>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gridSpan w:val="2"/>
          </w:tcPr>
          <w:p>
            <w:pPr>
              <w:spacing w:after="0"/>
              <w:rPr>
                <w:sz w:val="18"/>
                <w:szCs w:val="18"/>
                <w:color w:val="auto"/>
              </w:rPr>
            </w:pPr>
          </w:p>
        </w:tc>
        <w:tc>
          <w:tcPr>
            <w:tcW w:w="4360" w:type="dxa"/>
            <w:vAlign w:val="bottom"/>
            <w:gridSpan w:val="7"/>
          </w:tcPr>
          <w:p>
            <w:pPr>
              <w:spacing w:after="0"/>
              <w:rPr>
                <w:sz w:val="18"/>
                <w:szCs w:val="18"/>
                <w:color w:val="auto"/>
              </w:rPr>
            </w:pPr>
          </w:p>
        </w:tc>
        <w:tc>
          <w:tcPr>
            <w:tcW w:w="30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63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9.</w:t>
            </w:r>
          </w:p>
        </w:tc>
        <w:tc>
          <w:tcPr>
            <w:tcW w:w="680" w:type="dxa"/>
            <w:vAlign w:val="bottom"/>
            <w:gridSpan w:val="4"/>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20" w:type="dxa"/>
            <w:vAlign w:val="bottom"/>
            <w:gridSpan w:val="8"/>
          </w:tcPr>
          <w:p>
            <w:pPr>
              <w:jc w:val="center"/>
              <w:ind w:left="110"/>
              <w:spacing w:after="0"/>
              <w:rPr>
                <w:sz w:val="20"/>
                <w:szCs w:val="20"/>
                <w:color w:val="auto"/>
              </w:rPr>
            </w:pPr>
            <w:r>
              <w:rPr>
                <w:rFonts w:ascii="Arial" w:cs="Arial" w:eastAsia="Arial" w:hAnsi="Arial"/>
                <w:sz w:val="18"/>
                <w:szCs w:val="18"/>
                <w:color w:val="0000FF"/>
                <w:w w:val="99"/>
              </w:rPr>
              <w:t>110</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9A.</w:t>
            </w:r>
          </w:p>
        </w:tc>
        <w:tc>
          <w:tcPr>
            <w:tcW w:w="580" w:type="dxa"/>
            <w:vAlign w:val="bottom"/>
            <w:gridSpan w:val="2"/>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Controls and Procedures</w:t>
            </w:r>
          </w:p>
        </w:tc>
        <w:tc>
          <w:tcPr>
            <w:tcW w:w="620" w:type="dxa"/>
            <w:vAlign w:val="bottom"/>
            <w:gridSpan w:val="8"/>
          </w:tcPr>
          <w:p>
            <w:pPr>
              <w:jc w:val="center"/>
              <w:ind w:left="110"/>
              <w:spacing w:after="0"/>
              <w:rPr>
                <w:sz w:val="20"/>
                <w:szCs w:val="20"/>
                <w:color w:val="auto"/>
              </w:rPr>
            </w:pPr>
            <w:r>
              <w:rPr>
                <w:rFonts w:ascii="Arial" w:cs="Arial" w:eastAsia="Arial" w:hAnsi="Arial"/>
                <w:sz w:val="18"/>
                <w:szCs w:val="18"/>
                <w:color w:val="0000FF"/>
                <w:w w:val="99"/>
              </w:rPr>
              <w:t>110</w:t>
            </w: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Item 9B.</w:t>
            </w:r>
          </w:p>
        </w:tc>
        <w:tc>
          <w:tcPr>
            <w:tcW w:w="580" w:type="dxa"/>
            <w:vAlign w:val="bottom"/>
            <w:gridSpan w:val="2"/>
          </w:tcPr>
          <w:p>
            <w:pPr>
              <w:spacing w:after="0"/>
              <w:rPr>
                <w:sz w:val="18"/>
                <w:szCs w:val="18"/>
                <w:color w:val="auto"/>
              </w:rPr>
            </w:pPr>
          </w:p>
        </w:tc>
        <w:tc>
          <w:tcPr>
            <w:tcW w:w="14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7080" w:type="dxa"/>
            <w:vAlign w:val="bottom"/>
            <w:gridSpan w:val="14"/>
          </w:tcPr>
          <w:p>
            <w:pPr>
              <w:spacing w:after="0"/>
              <w:rPr>
                <w:sz w:val="18"/>
                <w:szCs w:val="18"/>
                <w:color w:val="auto"/>
              </w:rPr>
            </w:pPr>
          </w:p>
        </w:tc>
        <w:tc>
          <w:tcPr>
            <w:tcW w:w="260" w:type="dxa"/>
            <w:vAlign w:val="bottom"/>
            <w:gridSpan w:val="2"/>
          </w:tcPr>
          <w:p>
            <w:pPr>
              <w:spacing w:after="0"/>
              <w:rPr>
                <w:sz w:val="18"/>
                <w:szCs w:val="18"/>
                <w:color w:val="auto"/>
              </w:rPr>
            </w:pPr>
          </w:p>
        </w:tc>
        <w:tc>
          <w:tcPr>
            <w:tcW w:w="300" w:type="dxa"/>
            <w:vAlign w:val="bottom"/>
            <w:tcBorders>
              <w:top w:val="single" w:sz="8" w:color="0000FF"/>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Item 9C.</w:t>
            </w:r>
          </w:p>
        </w:tc>
        <w:tc>
          <w:tcPr>
            <w:tcW w:w="520" w:type="dxa"/>
            <w:vAlign w:val="bottom"/>
          </w:tcPr>
          <w:p>
            <w:pPr>
              <w:spacing w:after="0"/>
              <w:rPr>
                <w:sz w:val="18"/>
                <w:szCs w:val="18"/>
                <w:color w:val="auto"/>
              </w:rPr>
            </w:pPr>
          </w:p>
        </w:tc>
        <w:tc>
          <w:tcPr>
            <w:tcW w:w="54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660" w:type="dxa"/>
            <w:vAlign w:val="bottom"/>
            <w:gridSpan w:val="6"/>
          </w:tcPr>
          <w:p>
            <w:pPr>
              <w:spacing w:after="0"/>
              <w:rPr>
                <w:sz w:val="18"/>
                <w:szCs w:val="18"/>
                <w:color w:val="auto"/>
              </w:rPr>
            </w:pPr>
          </w:p>
        </w:tc>
        <w:tc>
          <w:tcPr>
            <w:tcW w:w="260" w:type="dxa"/>
            <w:vAlign w:val="bottom"/>
            <w:gridSpan w:val="2"/>
          </w:tcPr>
          <w:p>
            <w:pPr>
              <w:spacing w:after="0"/>
              <w:rPr>
                <w:sz w:val="18"/>
                <w:szCs w:val="18"/>
                <w:color w:val="auto"/>
              </w:rPr>
            </w:pPr>
          </w:p>
        </w:tc>
        <w:tc>
          <w:tcPr>
            <w:tcW w:w="3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60"/>
              <w:spacing w:after="0"/>
              <w:rPr>
                <w:sz w:val="20"/>
                <w:szCs w:val="20"/>
                <w:color w:val="auto"/>
              </w:rPr>
            </w:pPr>
            <w:r>
              <w:rPr>
                <w:rFonts w:ascii="Arial" w:cs="Arial" w:eastAsia="Arial" w:hAnsi="Arial"/>
                <w:sz w:val="18"/>
                <w:szCs w:val="18"/>
                <w:b w:val="1"/>
                <w:bCs w:val="1"/>
                <w:color w:val="auto"/>
                <w:w w:val="98"/>
              </w:rPr>
              <w:t>PART III</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66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5"/>
              </w:rPr>
              <w:t>Item 10.</w:t>
            </w:r>
          </w:p>
        </w:tc>
        <w:tc>
          <w:tcPr>
            <w:tcW w:w="580" w:type="dxa"/>
            <w:vAlign w:val="bottom"/>
            <w:gridSpan w:val="2"/>
          </w:tcPr>
          <w:p>
            <w:pPr>
              <w:spacing w:after="0"/>
              <w:rPr>
                <w:sz w:val="16"/>
                <w:szCs w:val="16"/>
                <w:color w:val="auto"/>
              </w:rPr>
            </w:pPr>
          </w:p>
        </w:tc>
        <w:tc>
          <w:tcPr>
            <w:tcW w:w="4500" w:type="dxa"/>
            <w:vAlign w:val="bottom"/>
            <w:tcBorders>
              <w:bottom w:val="single" w:sz="8" w:color="0000FF"/>
            </w:tcBorders>
            <w:gridSpan w:val="16"/>
          </w:tcPr>
          <w:p>
            <w:pPr>
              <w:spacing w:after="0" w:line="195" w:lineRule="exact"/>
              <w:rPr>
                <w:sz w:val="20"/>
                <w:szCs w:val="20"/>
                <w:color w:val="auto"/>
              </w:rPr>
            </w:pPr>
            <w:r>
              <w:rPr>
                <w:rFonts w:ascii="Arial" w:cs="Arial" w:eastAsia="Arial" w:hAnsi="Arial"/>
                <w:sz w:val="18"/>
                <w:szCs w:val="18"/>
                <w:color w:val="0000FF"/>
                <w:w w:val="99"/>
              </w:rPr>
              <w:t>Directors, Executive Officers and Corporate Governance</w:t>
            </w:r>
          </w:p>
        </w:tc>
        <w:tc>
          <w:tcPr>
            <w:tcW w:w="4560" w:type="dxa"/>
            <w:vAlign w:val="bottom"/>
            <w:gridSpan w:val="8"/>
          </w:tcPr>
          <w:p>
            <w:pPr>
              <w:spacing w:after="0"/>
              <w:rPr>
                <w:sz w:val="16"/>
                <w:szCs w:val="16"/>
                <w:color w:val="auto"/>
              </w:rPr>
            </w:pPr>
          </w:p>
        </w:tc>
        <w:tc>
          <w:tcPr>
            <w:tcW w:w="260" w:type="dxa"/>
            <w:vAlign w:val="bottom"/>
            <w:gridSpan w:val="2"/>
          </w:tcPr>
          <w:p>
            <w:pPr>
              <w:spacing w:after="0"/>
              <w:rPr>
                <w:sz w:val="16"/>
                <w:szCs w:val="16"/>
                <w:color w:val="auto"/>
              </w:rPr>
            </w:pPr>
          </w:p>
        </w:tc>
        <w:tc>
          <w:tcPr>
            <w:tcW w:w="300" w:type="dxa"/>
            <w:vAlign w:val="bottom"/>
            <w:tcBorders>
              <w:bottom w:val="single" w:sz="8" w:color="0000FF"/>
            </w:tcBorders>
            <w:gridSpan w:val="5"/>
          </w:tcPr>
          <w:p>
            <w:pPr>
              <w:jc w:val="center"/>
              <w:spacing w:after="0" w:line="195" w:lineRule="exact"/>
              <w:rPr>
                <w:sz w:val="20"/>
                <w:szCs w:val="20"/>
                <w:color w:val="auto"/>
              </w:rPr>
            </w:pPr>
            <w:r>
              <w:rPr>
                <w:rFonts w:ascii="Arial" w:cs="Arial" w:eastAsia="Arial" w:hAnsi="Arial"/>
                <w:sz w:val="18"/>
                <w:szCs w:val="18"/>
                <w:color w:val="0000FF"/>
                <w:w w:val="99"/>
              </w:rPr>
              <w:t>113</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11.</w:t>
            </w:r>
          </w:p>
        </w:tc>
        <w:tc>
          <w:tcPr>
            <w:tcW w:w="580" w:type="dxa"/>
            <w:vAlign w:val="bottom"/>
            <w:gridSpan w:val="2"/>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Executive Compensation</w:t>
            </w:r>
          </w:p>
        </w:tc>
        <w:tc>
          <w:tcPr>
            <w:tcW w:w="620" w:type="dxa"/>
            <w:vAlign w:val="bottom"/>
            <w:gridSpan w:val="8"/>
          </w:tcPr>
          <w:p>
            <w:pPr>
              <w:jc w:val="center"/>
              <w:ind w:left="110"/>
              <w:spacing w:after="0"/>
              <w:rPr>
                <w:sz w:val="20"/>
                <w:szCs w:val="20"/>
                <w:color w:val="auto"/>
              </w:rPr>
            </w:pPr>
            <w:r>
              <w:rPr>
                <w:rFonts w:ascii="Arial" w:cs="Arial" w:eastAsia="Arial" w:hAnsi="Arial"/>
                <w:sz w:val="18"/>
                <w:szCs w:val="18"/>
                <w:color w:val="0000FF"/>
                <w:w w:val="99"/>
              </w:rPr>
              <w:t>113</w:t>
            </w:r>
          </w:p>
        </w:tc>
        <w:tc>
          <w:tcPr>
            <w:tcW w:w="3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12.</w:t>
            </w:r>
          </w:p>
        </w:tc>
        <w:tc>
          <w:tcPr>
            <w:tcW w:w="580" w:type="dxa"/>
            <w:vAlign w:val="bottom"/>
            <w:gridSpan w:val="2"/>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20" w:type="dxa"/>
            <w:vAlign w:val="bottom"/>
            <w:gridSpan w:val="8"/>
          </w:tcPr>
          <w:p>
            <w:pPr>
              <w:jc w:val="center"/>
              <w:ind w:left="110"/>
              <w:spacing w:after="0"/>
              <w:rPr>
                <w:sz w:val="20"/>
                <w:szCs w:val="20"/>
                <w:color w:val="auto"/>
              </w:rPr>
            </w:pPr>
            <w:r>
              <w:rPr>
                <w:rFonts w:ascii="Arial" w:cs="Arial" w:eastAsia="Arial" w:hAnsi="Arial"/>
                <w:sz w:val="18"/>
                <w:szCs w:val="18"/>
                <w:color w:val="0000FF"/>
                <w:w w:val="99"/>
              </w:rPr>
              <w:t>113</w:t>
            </w:r>
          </w:p>
        </w:tc>
        <w:tc>
          <w:tcPr>
            <w:tcW w:w="3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13.</w:t>
            </w:r>
          </w:p>
        </w:tc>
        <w:tc>
          <w:tcPr>
            <w:tcW w:w="580" w:type="dxa"/>
            <w:vAlign w:val="bottom"/>
            <w:gridSpan w:val="2"/>
          </w:tcPr>
          <w:p>
            <w:pPr>
              <w:spacing w:after="0"/>
              <w:rPr>
                <w:sz w:val="18"/>
                <w:szCs w:val="18"/>
                <w:color w:val="auto"/>
              </w:rPr>
            </w:pPr>
          </w:p>
        </w:tc>
        <w:tc>
          <w:tcPr>
            <w:tcW w:w="602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80" w:type="dxa"/>
            <w:vAlign w:val="bottom"/>
            <w:tcBorders>
              <w:top w:val="single" w:sz="8" w:color="0000FF"/>
            </w:tcBorders>
            <w:gridSpan w:val="3"/>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300" w:type="dxa"/>
            <w:vAlign w:val="bottom"/>
            <w:tcBorders>
              <w:top w:val="single" w:sz="8" w:color="0000FF"/>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0000FF"/>
              </w:rPr>
              <w:t>Item 14.</w:t>
            </w:r>
          </w:p>
        </w:tc>
        <w:tc>
          <w:tcPr>
            <w:tcW w:w="9060" w:type="dxa"/>
            <w:vAlign w:val="bottom"/>
            <w:gridSpan w:val="24"/>
          </w:tcPr>
          <w:p>
            <w:pPr>
              <w:spacing w:after="0"/>
              <w:rPr>
                <w:sz w:val="20"/>
                <w:szCs w:val="20"/>
                <w:color w:val="auto"/>
              </w:rPr>
            </w:pPr>
            <w:r>
              <w:rPr>
                <w:rFonts w:ascii="Arial" w:cs="Arial" w:eastAsia="Arial" w:hAnsi="Arial"/>
                <w:sz w:val="18"/>
                <w:szCs w:val="18"/>
                <w:color w:val="0000FF"/>
              </w:rPr>
              <w:t>Principal Accountant Fees and Services</w:t>
            </w:r>
          </w:p>
        </w:tc>
        <w:tc>
          <w:tcPr>
            <w:tcW w:w="620" w:type="dxa"/>
            <w:vAlign w:val="bottom"/>
            <w:gridSpan w:val="8"/>
          </w:tcPr>
          <w:p>
            <w:pPr>
              <w:jc w:val="center"/>
              <w:ind w:left="110"/>
              <w:spacing w:after="0"/>
              <w:rPr>
                <w:sz w:val="20"/>
                <w:szCs w:val="20"/>
                <w:color w:val="auto"/>
              </w:rPr>
            </w:pPr>
            <w:r>
              <w:rPr>
                <w:rFonts w:ascii="Arial" w:cs="Arial" w:eastAsia="Arial" w:hAnsi="Arial"/>
                <w:sz w:val="18"/>
                <w:szCs w:val="18"/>
                <w:color w:val="0000FF"/>
                <w:w w:val="99"/>
              </w:rPr>
              <w:t>113</w:t>
            </w:r>
          </w:p>
        </w:tc>
        <w:tc>
          <w:tcPr>
            <w:tcW w:w="3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3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8"/>
              </w:rPr>
              <w:t>PART IV</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66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5"/>
              </w:rPr>
              <w:t>Item 15.</w:t>
            </w:r>
          </w:p>
        </w:tc>
        <w:tc>
          <w:tcPr>
            <w:tcW w:w="580" w:type="dxa"/>
            <w:vAlign w:val="bottom"/>
            <w:gridSpan w:val="2"/>
          </w:tcPr>
          <w:p>
            <w:pPr>
              <w:spacing w:after="0"/>
              <w:rPr>
                <w:sz w:val="16"/>
                <w:szCs w:val="16"/>
                <w:color w:val="auto"/>
              </w:rPr>
            </w:pPr>
          </w:p>
        </w:tc>
        <w:tc>
          <w:tcPr>
            <w:tcW w:w="3600" w:type="dxa"/>
            <w:vAlign w:val="bottom"/>
            <w:tcBorders>
              <w:bottom w:val="single" w:sz="8" w:color="0000FF"/>
            </w:tcBorders>
            <w:gridSpan w:val="14"/>
          </w:tcPr>
          <w:p>
            <w:pPr>
              <w:spacing w:after="0" w:line="195" w:lineRule="exact"/>
              <w:rPr>
                <w:sz w:val="20"/>
                <w:szCs w:val="20"/>
                <w:color w:val="auto"/>
              </w:rPr>
            </w:pPr>
            <w:r>
              <w:rPr>
                <w:rFonts w:ascii="Arial" w:cs="Arial" w:eastAsia="Arial" w:hAnsi="Arial"/>
                <w:sz w:val="18"/>
                <w:szCs w:val="18"/>
                <w:color w:val="0000FF"/>
                <w:w w:val="99"/>
              </w:rPr>
              <w:t>Exhibits and Financial Statements Schedules</w:t>
            </w:r>
          </w:p>
        </w:tc>
        <w:tc>
          <w:tcPr>
            <w:tcW w:w="5460" w:type="dxa"/>
            <w:vAlign w:val="bottom"/>
            <w:gridSpan w:val="10"/>
          </w:tcPr>
          <w:p>
            <w:pPr>
              <w:spacing w:after="0"/>
              <w:rPr>
                <w:sz w:val="16"/>
                <w:szCs w:val="16"/>
                <w:color w:val="auto"/>
              </w:rPr>
            </w:pPr>
          </w:p>
        </w:tc>
        <w:tc>
          <w:tcPr>
            <w:tcW w:w="260" w:type="dxa"/>
            <w:vAlign w:val="bottom"/>
            <w:gridSpan w:val="2"/>
          </w:tcPr>
          <w:p>
            <w:pPr>
              <w:spacing w:after="0"/>
              <w:rPr>
                <w:sz w:val="16"/>
                <w:szCs w:val="16"/>
                <w:color w:val="auto"/>
              </w:rPr>
            </w:pPr>
          </w:p>
        </w:tc>
        <w:tc>
          <w:tcPr>
            <w:tcW w:w="300" w:type="dxa"/>
            <w:vAlign w:val="bottom"/>
            <w:tcBorders>
              <w:bottom w:val="single" w:sz="8" w:color="0000FF"/>
            </w:tcBorders>
            <w:gridSpan w:val="5"/>
          </w:tcPr>
          <w:p>
            <w:pPr>
              <w:jc w:val="center"/>
              <w:spacing w:after="0" w:line="195" w:lineRule="exact"/>
              <w:rPr>
                <w:sz w:val="20"/>
                <w:szCs w:val="20"/>
                <w:color w:val="auto"/>
              </w:rPr>
            </w:pPr>
            <w:r>
              <w:rPr>
                <w:rFonts w:ascii="Arial" w:cs="Arial" w:eastAsia="Arial" w:hAnsi="Arial"/>
                <w:sz w:val="18"/>
                <w:szCs w:val="18"/>
                <w:color w:val="0000FF"/>
                <w:w w:val="99"/>
              </w:rPr>
              <w:t>114</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16.</w:t>
            </w:r>
          </w:p>
        </w:tc>
        <w:tc>
          <w:tcPr>
            <w:tcW w:w="580" w:type="dxa"/>
            <w:vAlign w:val="bottom"/>
            <w:gridSpan w:val="2"/>
          </w:tcPr>
          <w:p>
            <w:pPr>
              <w:spacing w:after="0"/>
              <w:rPr>
                <w:sz w:val="18"/>
                <w:szCs w:val="18"/>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0000FF"/>
              </w:rPr>
              <w:t>Form 10-K Summary</w:t>
            </w:r>
          </w:p>
        </w:tc>
        <w:tc>
          <w:tcPr>
            <w:tcW w:w="620" w:type="dxa"/>
            <w:vAlign w:val="bottom"/>
            <w:gridSpan w:val="8"/>
          </w:tcPr>
          <w:p>
            <w:pPr>
              <w:jc w:val="center"/>
              <w:ind w:left="11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Signatures</w:t>
            </w:r>
          </w:p>
        </w:tc>
        <w:tc>
          <w:tcPr>
            <w:tcW w:w="800" w:type="dxa"/>
            <w:vAlign w:val="bottom"/>
            <w:tcBorders>
              <w:top w:val="single" w:sz="8" w:color="0000FF"/>
            </w:tcBorders>
            <w:gridSpan w:val="5"/>
          </w:tcPr>
          <w:p>
            <w:pPr>
              <w:spacing w:after="0"/>
              <w:rPr>
                <w:sz w:val="18"/>
                <w:szCs w:val="18"/>
                <w:color w:val="auto"/>
              </w:rPr>
            </w:pPr>
          </w:p>
        </w:tc>
        <w:tc>
          <w:tcPr>
            <w:tcW w:w="7400" w:type="dxa"/>
            <w:vAlign w:val="bottom"/>
            <w:gridSpan w:val="16"/>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92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gridSpan w:val="16"/>
          </w:tcPr>
          <w:p>
            <w:pPr>
              <w:jc w:val="center"/>
              <w:ind w:left="415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related to U.S. and global economies and the effect on our business, results of operations, and financial condition;</w:t>
      </w:r>
    </w:p>
    <w:p>
      <w:pPr>
        <w:spacing w:after="0" w:line="63" w:lineRule="exact"/>
        <w:rPr>
          <w:rFonts w:ascii="Arial" w:cs="Arial" w:eastAsia="Arial" w:hAnsi="Arial"/>
          <w:sz w:val="18"/>
          <w:szCs w:val="18"/>
          <w:i w:val="1"/>
          <w:iCs w:val="1"/>
          <w:color w:val="auto"/>
        </w:rPr>
      </w:pPr>
    </w:p>
    <w:p>
      <w:pPr>
        <w:ind w:left="66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and any fluctuations in such performance, including our net revenue, costs of revenue, gross profit, and operating expenses and our ability to achieve future profitability;</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and scale new products and services, such as our credit card platform;</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expand our operations;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enhance our platform and services and develop and expand our capabilities;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further attract, retain, diversify, and expand our customer base;</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our relationships with Issuing Banks, Card Networks, and the other third parties with which we work;</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expand internationally;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past and future acquisitions, investments, and other strategic investments;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in existing and new markets and offerings;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social, and/or economic instability or military conflict;</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ability to develop and protect our brand;</w:t>
      </w:r>
    </w:p>
    <w:p>
      <w:pPr>
        <w:spacing w:after="0" w:line="6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or developments in laws and regulations and our ability to comply with laws and regulations;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repurchase shares under authorized share repurchase programs and receive expected financial benefits; and</w:t>
      </w:r>
    </w:p>
    <w:p>
      <w:pPr>
        <w:spacing w:after="0" w:line="25"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our ability to maintain effective disclosure controls and internal controls over financial reporting.</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Annual Report on Form 10-K. 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Annual Report on Form 10-K.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Marqeta’s mission is modernizing financial services by making the entire payment experience native and delightful. Marqeta’s modern platform empowers our customers to create customized and innovative payment card programs, giving them configurability and flexibility. When our customers come to us to build a payments solution, they are not just building a card, they are building a payments experience.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platform encompasses debit, prepaid, and credit programs, and provides banking and money movement, risk management, and rewards products. We deliver a scaled solution to our customers to maximize the benefit of their card programs while also providing the tech layer that bridges the bank and the customer. Marqeta’s open APIs provide instant access to a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deliver robust card program management, allowing our customers to embed Marqeta in their offering without having to build certain complex elements or customer support services. Our customers can focus on their areas of expertise, with more control over their card programs, while we manage the complexity of running the card programs with Issuing Banks and Card Networks (each as defined below).</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years ended December 31, 2025, 2024, and 2023, total processing volume (“TPV”) on the Marqeta Platform was $382.5 billion, $291.1 billion, and $222.3 billion, respectively, which reflected year-over-year growth of 31% and 31%, respectively. TPV is the total dollar amount of payments processed through the Marqeta platform, net of returns and chargebacks. See “Management’s Discussion and Analysis of Financial Condition and Results of Operations” for a more detailed discussion of our strategy and key operating metric.</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Payments Ecosystem</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every tap, swipe, or payment, a lot happens behind the scenes. The payments ecosystem of Issuing Banks, Acquiring Banks, Acquirer Processors, Issuer Processors, and Card Networks facilitates the exchange of information and funds and underpins global payment card purchase transactions.</w:t>
      </w:r>
    </w:p>
    <w:p>
      <w:pPr>
        <w:spacing w:after="0" w:line="63" w:lineRule="exact"/>
        <w:rPr>
          <w:sz w:val="20"/>
          <w:szCs w:val="20"/>
          <w:color w:val="auto"/>
        </w:rPr>
      </w:pPr>
    </w:p>
    <w:p>
      <w:pPr>
        <w:ind w:left="660" w:right="8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“Acquirer Processors” connect Acquiring Banks and merchants to the Card Networks, to facilitate the flow of card payment information to an Issuing Bank.</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“Acquiring Banks” are the financial institutions that merchants use to hold funds and manage their business. Acquiring Banks may work with an Acquirer Processor to provide access to the Card Networks.</w:t>
      </w:r>
    </w:p>
    <w:p>
      <w:pPr>
        <w:ind w:left="660" w:right="1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“Card Networks” provide the infrastructure for settlement and card payment information that flows between an Issuer Processor and an Acquirer Processor.</w:t>
      </w:r>
    </w:p>
    <w:p>
      <w:pPr>
        <w:ind w:left="660" w:right="5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Processors” provide a technology platform, ledger, and infrastructure to support a card issuer and connects with a Card Network to facilitate payment transactions.</w:t>
      </w:r>
    </w:p>
    <w:p>
      <w:pPr>
        <w:ind w:left="660" w:right="20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“Issuing Banks” are the financial institution that issue a payment card (debit, prepaid, or credit) either on its own behalf or on behalf of a business.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406400</wp:posOffset>
            </wp:positionV>
            <wp:extent cx="5657850" cy="297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Platform and Products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Marqeta’s modern platform enables customers to build and rapidly scale their card programs with extensive control and configurability, and with high standards of reliability and security. Our platform is designed to be flexible and configurable to enable our customers’ innovations by providing a full spectrum of consumer and commercial card issuing and transaction processing services in a single solution. We overlay robust program management expertise to help our customers design a customer-centric card program without requiring expertise in all of the nuances of managing a program themselves.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aspect of our modern platform is that our debit, prepaid, and credit offerings are all available in a combined offering, enabling customers to offer multiple products through Marqeta’s platform. For example, a retail company could use Marqeta to create a debit program to offer wage solutions to its hourly workers, a consumer credit program to its most loyal shoppers, and a commercial credit program to key suppliers to meet its working capital needs. Marqeta is certified to operate in more than 40 countries worldwide, and these programs can all exist on Marqeta’s single, global, modern platform.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platform has a number of key attributes, including: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Control</w:t>
      </w:r>
      <w:r>
        <w:rPr>
          <w:rFonts w:ascii="Arial" w:cs="Arial" w:eastAsia="Arial" w:hAnsi="Arial"/>
          <w:sz w:val="18"/>
          <w:szCs w:val="18"/>
          <w:color w:val="auto"/>
        </w:rPr>
        <w:t>: Dynamic spend controls and Just-in-Time Funding (“JIT Funding”) provide customers with control over the payments flow.</w:t>
      </w:r>
    </w:p>
    <w:p>
      <w:pPr>
        <w:spacing w:after="0" w:line="117"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i w:val="1"/>
          <w:iCs w:val="1"/>
          <w:color w:val="auto"/>
        </w:rPr>
        <w:t>Scale</w:t>
      </w:r>
      <w:r>
        <w:rPr>
          <w:rFonts w:ascii="Arial" w:cs="Arial" w:eastAsia="Arial" w:hAnsi="Arial"/>
          <w:sz w:val="18"/>
          <w:szCs w:val="18"/>
          <w:color w:val="auto"/>
        </w:rPr>
        <w:t>: Global platform built on a cloud-native infrastructure and a suite of APIs to support our customers worldwide with a build-once,</w:t>
      </w:r>
      <w:r>
        <w:rPr>
          <w:rFonts w:ascii="Arial" w:cs="Arial" w:eastAsia="Arial" w:hAnsi="Arial"/>
          <w:sz w:val="18"/>
          <w:szCs w:val="18"/>
          <w:i w:val="1"/>
          <w:iCs w:val="1"/>
          <w:color w:val="auto"/>
        </w:rPr>
        <w:t xml:space="preserve"> </w:t>
      </w:r>
      <w:r>
        <w:rPr>
          <w:rFonts w:ascii="Arial" w:cs="Arial" w:eastAsia="Arial" w:hAnsi="Arial"/>
          <w:sz w:val="18"/>
          <w:szCs w:val="18"/>
          <w:color w:val="auto"/>
        </w:rPr>
        <w:t>deploy-anywhere model.</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Configurable</w:t>
      </w:r>
      <w:r>
        <w:rPr>
          <w:rFonts w:ascii="Arial" w:cs="Arial" w:eastAsia="Arial" w:hAnsi="Arial"/>
          <w:sz w:val="18"/>
          <w:szCs w:val="18"/>
          <w:color w:val="auto"/>
        </w:rPr>
        <w:t>: Highly configurable capabilities empower our customers to build native solutions tailored to their customer needs.</w:t>
      </w:r>
    </w:p>
    <w:p>
      <w:pPr>
        <w:spacing w:after="0" w:line="117"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i w:val="1"/>
          <w:iCs w:val="1"/>
          <w:color w:val="auto"/>
        </w:rPr>
        <w:t>Trust</w:t>
      </w:r>
      <w:r>
        <w:rPr>
          <w:rFonts w:ascii="Arial" w:cs="Arial" w:eastAsia="Arial" w:hAnsi="Arial"/>
          <w:sz w:val="18"/>
          <w:szCs w:val="18"/>
          <w:color w:val="auto"/>
        </w:rPr>
        <w:t>: We comply with applicable obligations under the Payment Card Industry Data Security Standard (“PCI DSS”) and provide a trusted</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for card issuing and payment processing with security, transparency, and real-time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Offerings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Marqeta’s innovative products are developed with deep domain expertise and a customer-first mindset to launch, scale, and manage card programs. Marqeta provides the following offerings based on a customer’s desired level of control and responsibility: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Processing: Marqeta provides all of its customers with issuer processor services as our core offering. Payment processing provides customers with access to the Marqeta dashboard via our APIs and webhooks, our JIT Funding feature, and assists with certain configuration elements that enable customers to use the platform independently.</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 and Network Management: Marqeta provides a service option to connect customers to an Issuing Bank partner to act as the BIN sponsor for the customer’s card program, define and manage a number of the primary tasks related to launching a card program, and can provide a full range of services including configuring many of the critical resources required by a customer’s production environment and managing the applicable regulations and the Issuing Bank. In addition, Marqeta provides another service offering to manage compliance with applicable Card Network rules.</w:t>
      </w:r>
    </w:p>
    <w:p>
      <w:pPr>
        <w:spacing w:after="0" w:line="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Program Management: Marqeta provides additional program management services that are required as part of a card program, including chargebacks and dispute resolution, reconciliation, and card fulfillment.</w:t>
      </w:r>
    </w:p>
    <w:p>
      <w:pPr>
        <w:spacing w:after="0" w:line="44"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 Added Services: Marqeta provides value added services that provide a more seamless experience for our customers, which include tokenization, real-time decisioning and fraud management, digital banking, and other customer experience services.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Issuing</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customers can issue debit, prepaid, and credit cards, and participating customers can take advantage of our flexible credential certifications. Flexible credentials allow a single hybrid card product to toggle between payment methods, putting the power of choice in the hands of the consumer. We achieved certification with Visa Flexible Credential in May 2024, and can enable cardholders of participating customers to easily set parameters or choose whether they use debit, credit, Buy Now, Pay Later, or even pay using rewards points.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Debit</w:t>
      </w:r>
      <w:r>
        <w:rPr>
          <w:rFonts w:ascii="Arial" w:cs="Arial" w:eastAsia="Arial" w:hAnsi="Arial"/>
          <w:sz w:val="18"/>
          <w:szCs w:val="18"/>
          <w:color w:val="auto"/>
        </w:rPr>
        <w:t>: Customers can link card products to a primary bank account for their users to fund and spend from.</w:t>
      </w:r>
    </w:p>
    <w:p>
      <w:pPr>
        <w:spacing w:after="0" w:line="117"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i w:val="1"/>
          <w:iCs w:val="1"/>
          <w:color w:val="auto"/>
        </w:rPr>
        <w:t>Prepaid</w:t>
      </w:r>
      <w:r>
        <w:rPr>
          <w:rFonts w:ascii="Arial" w:cs="Arial" w:eastAsia="Arial" w:hAnsi="Arial"/>
          <w:sz w:val="18"/>
          <w:szCs w:val="18"/>
          <w:color w:val="auto"/>
        </w:rPr>
        <w:t>: Customers can create single- or multi-use custom card experiences with dynamic spend controls and fund transactions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time based upon business criteria.</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Credit</w:t>
      </w:r>
      <w:r>
        <w:rPr>
          <w:rFonts w:ascii="Arial" w:cs="Arial" w:eastAsia="Arial" w:hAnsi="Arial"/>
          <w:sz w:val="18"/>
          <w:szCs w:val="18"/>
          <w:color w:val="auto"/>
        </w:rPr>
        <w:t>: Customers can create customized consumer and commercial credit programs with innovative rewards structures, leveraging pre-integrated partners for underwriting, mobile app design, and customer service. Our platform supports secured and unsecured, as well as revolving credit programs.</w:t>
      </w:r>
    </w:p>
    <w:p>
      <w:pPr>
        <w:spacing w:after="0" w:line="6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i w:val="1"/>
          <w:iCs w:val="1"/>
          <w:color w:val="auto"/>
        </w:rPr>
        <w:t>Virtual</w:t>
      </w:r>
      <w:r>
        <w:rPr>
          <w:rFonts w:ascii="Arial" w:cs="Arial" w:eastAsia="Arial" w:hAnsi="Arial"/>
          <w:sz w:val="18"/>
          <w:szCs w:val="18"/>
          <w:color w:val="auto"/>
        </w:rPr>
        <w:t>: Customers can instantly issue one-time or multi-use branded payment cards that are ready to use immediately and enable faster</w:t>
      </w:r>
      <w:r>
        <w:rPr>
          <w:rFonts w:ascii="Arial" w:cs="Arial" w:eastAsia="Arial" w:hAnsi="Arial"/>
          <w:sz w:val="18"/>
          <w:szCs w:val="18"/>
          <w:i w:val="1"/>
          <w:iCs w:val="1"/>
          <w:color w:val="auto"/>
        </w:rPr>
        <w:t xml:space="preserve"> </w:t>
      </w:r>
      <w:r>
        <w:rPr>
          <w:rFonts w:ascii="Arial" w:cs="Arial" w:eastAsia="Arial" w:hAnsi="Arial"/>
          <w:sz w:val="18"/>
          <w:szCs w:val="18"/>
          <w:color w:val="auto"/>
        </w:rPr>
        <w:t>funds disbursement with easier tracking of funds by unique virtual card numbers.</w:t>
      </w:r>
    </w:p>
    <w:p>
      <w:pPr>
        <w:spacing w:after="0" w:line="4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i w:val="1"/>
          <w:iCs w:val="1"/>
          <w:color w:val="auto"/>
        </w:rPr>
        <w:t>Physical</w:t>
      </w:r>
      <w:r>
        <w:rPr>
          <w:rFonts w:ascii="Arial" w:cs="Arial" w:eastAsia="Arial" w:hAnsi="Arial"/>
          <w:sz w:val="18"/>
          <w:szCs w:val="18"/>
          <w:color w:val="auto"/>
        </w:rPr>
        <w:t>: Customers can customize the look and feel, graphics, and messaging of physical cards to reinforce their brand. Physical cards</w:t>
      </w:r>
      <w:r>
        <w:rPr>
          <w:rFonts w:ascii="Arial" w:cs="Arial" w:eastAsia="Arial" w:hAnsi="Arial"/>
          <w:sz w:val="18"/>
          <w:szCs w:val="18"/>
          <w:i w:val="1"/>
          <w:iCs w:val="1"/>
          <w:color w:val="auto"/>
        </w:rPr>
        <w:t xml:space="preserve"> </w:t>
      </w:r>
      <w:r>
        <w:rPr>
          <w:rFonts w:ascii="Arial" w:cs="Arial" w:eastAsia="Arial" w:hAnsi="Arial"/>
          <w:sz w:val="18"/>
          <w:szCs w:val="18"/>
          <w:color w:val="auto"/>
        </w:rPr>
        <w:t>can be magstripe, EMV-chip, and/or tap-to-pay enabled.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&amp; Money Movement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Marqeta for Banking provides our customers with access to a suite of bank account and money movement features offered through our Issuing Bank partners, including savings accounts, demand deposit accounts, direct deposit with early pay, ACH, cash loads, and fee-free ATMs, bill pay, and instant funding capabilities. These services enable customers to drive additional engagement and spend by making it easy for their users to fund accounts and manage money.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Dashboard</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Marqeta Dashboard is a comprehensive self-service portal that empowers our customers to access and manage all aspects of their card program, including card configuration, servicing cardholders, tracking data and insights, managing disputes, and accessing RiskControl capabilities.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UI/UX</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User experience is an essential part of all Marqeta programs. Marqeta makes it easy for our customers to completely integrate the card experience into any app or website. For our credit customers, they can select a fully bank-approved UI template that's purpose-built for managing a credit card.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UX Toolkit allows customers to create branded front-end experiences using a comprehensive set of pre-built UI components optimized for Marqeta's APIs. It enables customers to build Marqeta-powered debit and credit programs with fewer development resources.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White Label App is a mobile / multi-channel application of the UX Toolkit that allows mobile-first customers to create a custom co-branded cardholder experience on iOS and Android. The white label app is intended to reduce time-to-launch and unlock opportunities for larger volume prospects.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Capabilities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Marqeta’s credit products, our customers have the tools to bring innovative credit solutions to market. From program set up to program launch, our customers can work directly with us rather than managing several different providers. Customers can customize the user experience and embed the card within their brands. Our program management and servicing solutions enables our customers to focus on building highly differentiated programs with truly personalized rewards and spend controls.</w:t>
      </w:r>
    </w:p>
    <w:p>
      <w:pPr>
        <w:spacing w:after="0" w:line="68"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i w:val="1"/>
          <w:iCs w:val="1"/>
          <w:color w:val="auto"/>
        </w:rPr>
        <w:t>Innovative Rewards Structures</w:t>
      </w:r>
      <w:r>
        <w:rPr>
          <w:rFonts w:ascii="Arial" w:cs="Arial" w:eastAsia="Arial" w:hAnsi="Arial"/>
          <w:sz w:val="18"/>
          <w:szCs w:val="18"/>
          <w:color w:val="auto"/>
        </w:rPr>
        <w:t>: Customers can leverage our proprietary rewards engine, keeping users engaged with innovative rewards</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structures using multiple data points across user spend as well as transactions, repayments, and other data points. Our comprehensive platform enables customers to reward users in real time with multiple redemption options, creating opportunities to drive engagement and usage.</w:t>
      </w:r>
    </w:p>
    <w:p>
      <w:pPr>
        <w:spacing w:after="0" w:line="6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Underwriting Support</w:t>
      </w:r>
      <w:r>
        <w:rPr>
          <w:rFonts w:ascii="Arial" w:cs="Arial" w:eastAsia="Arial" w:hAnsi="Arial"/>
          <w:sz w:val="18"/>
          <w:szCs w:val="18"/>
          <w:color w:val="auto"/>
        </w:rPr>
        <w:t>: Our underwriting decisioning engine allows Issuing Banks and customers to implement custom fraud and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decisioning criteria to help manage program fraud and delinquency risk. Our comprehensive platform allows for automated decisioning using a variety of data sources and custom logic.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TransactPay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acquisition of Transact Payments Limited (collectively, with its affiliates, “TransactPay”), we have strengthened our program management capabilities in Europe. Through TransactPay’s e-money institution (“EMI”) licenses and direct regulation sponsorship, we provide BIN sponsorship and card issuance in the UK, Gibraltar, and the EEA. With the combined capabilities of Marqeta and TransactPay, customers can take advantage of card program management features in the UK, Gibraltar, and the EEA, in addition to processing, while avoiding the added complexity associated with engaging multiple partners. We provide customers in Europe greater control of the offering and support the delivery of a comparable solution in Europe to that in the U.S. and Canada.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Migration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Portfolio Migration simplifies upgrading existing card programs onto our platform, reducing complexity and minimizing disruption during the transition. This capability includes two main components: an automated migration tool that transforms and aligns card program data from the previous system to Marqeta's platform, as well as operational processes to ensure a smooth transition.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Marqeta Hub</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Marqeta Hub (previously named Marqeta Flex) transforms how buy now, pay later (“BNPL”) payment options can be delivered inside payment apps and wallets by surfacing them when needed within the payment flow. Marqeta Hub expands BNPL distribution even further by giving consumers access to personalized BNPL options inside of their payment apps of choice.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benefits of Marqeta Hub for consumers, BNPL providers, and issuers include:</w:t>
      </w:r>
    </w:p>
    <w:p>
      <w:pPr>
        <w:spacing w:after="0" w:line="117"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i w:val="1"/>
          <w:iCs w:val="1"/>
          <w:color w:val="auto"/>
        </w:rPr>
        <w:t>Consumers</w:t>
      </w:r>
      <w:r>
        <w:rPr>
          <w:rFonts w:ascii="Arial" w:cs="Arial" w:eastAsia="Arial" w:hAnsi="Arial"/>
          <w:sz w:val="18"/>
          <w:szCs w:val="18"/>
          <w:color w:val="auto"/>
        </w:rPr>
        <w:t>: With Marqeta Hub, consumers are guided to the BNPL options that can meet their needs, with access to personalized BNPL</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inside of the payment apps they use most often.</w:t>
      </w:r>
    </w:p>
    <w:p>
      <w:pPr>
        <w:spacing w:after="0" w:line="4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i w:val="1"/>
          <w:iCs w:val="1"/>
          <w:color w:val="auto"/>
        </w:rPr>
        <w:t>BNPL Providers</w:t>
      </w:r>
      <w:r>
        <w:rPr>
          <w:rFonts w:ascii="Arial" w:cs="Arial" w:eastAsia="Arial" w:hAnsi="Arial"/>
          <w:sz w:val="18"/>
          <w:szCs w:val="18"/>
          <w:color w:val="auto"/>
        </w:rPr>
        <w:t>: Marqeta Hub expands BNPL distribution, enabling BNPL providers to benefit from greater access to consumers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transaction volumes.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i w:val="1"/>
          <w:iCs w:val="1"/>
          <w:color w:val="auto"/>
        </w:rPr>
        <w:t>Card Issuers</w:t>
      </w:r>
      <w:r>
        <w:rPr>
          <w:rFonts w:ascii="Arial" w:cs="Arial" w:eastAsia="Arial" w:hAnsi="Arial"/>
          <w:sz w:val="18"/>
          <w:szCs w:val="18"/>
          <w:color w:val="auto"/>
        </w:rPr>
        <w:t>: Marqeta Hub is a powerful solution for digital wallets and card issuers, allowing them to drive payment volume by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incorporating multiple BNPL offerings into the transaction experience that can be customized to user preferences. A single integration with Marqeta Hub provides them access to a variety of global BNPL providers, and is expected to increase the speed at which they can build and launch card solutions that offer flexible payment methods, including custom and user-friendly BNPL loan options.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Customers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Marqeta serves customers in multiple industry verticals including financial services, on-demand services, lending, including BNPL, expense management, and e-commerce enablement.</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see embedded finance as a significant contributor to our next wave of growth. There are two critical components to embedded finance: native integration and non-financial services businesses. It starts with a company whose core business is not financial services, and that company offers financial services products in a manner that is natively embedded into their existing customer experience. It is seamless, and, to put it simply, you don't have to go to the bank. The bank comes to you where you already spend.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embedded finance, enterprises across industries can offer multiple financial services to their customers to improve the user experience, enhance loyalty, and add another monetization engine to their existing business. Marqeta’s platform operates across a number of use cases for customers, including consumer credit cards, point-of-sale lending, accelerated/earned wage access, expense management, on-demand delivery, and spend management. Customers can also combine solutions across different use cases.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Large Customers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Block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19, 2016, we entered into a master services agreement with Block, Inc., formerly known as Square, Inc., as subsequently amended (the “Block Agreement”), which includes the commercial terms of our relationship with Block. Pursuant to the terms of the Block Agreement, we have agreed to manage Block’s Cash App, Square Debit Card, and Square Card Canada card issuing programs for Block. On January 31, 2022, Block completed its acquisition of our customer, Afterpay Limited. We have a separate agreement with Afterpay that provides for the commercial terms of our relationship; however, we aggregate Afterpay as part of our Block business for purposes of financial reporting in this Annual Report on Form 10-K and other filings we make with the SEC.</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executed contract amendments on August 4, 2023 (the “August 2023 Block Amendment”) and November 3, 2023 (the “November 2023 Block Amendment,” and, together with the August 2023 Block Amendment, the “2023 Block Amendments”) to the Block Agreement. Pursuant to the terms of the 2023 Block Amendments, the term of the Cash App and the Square Debit Card programs will expire on June 30, 2028 and automatically renew thereafter for successive one-year periods, unless terminated earlier by either party.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August 2023 Block Amendment provides that we will continue to provide various services to Block, though Block will be responsible for defining and managing the Cash App program with respect to the primary Card Network going forward, including being responsible for managing the financial relationship between the Cash App program and the primary Card Network, choosing the card brand, determining the product type, and meeting program parameters. The August 2023 Block Amendment also includes a continuation of services for the Cash App program for a period of time in the event of a change of control of Marqeta. The November 2023 Block Amendment provides that we will be the default provider of issuing processing and related services in current or future markets outside of the U.S. where Block intends to operate and Marqeta is able to provide issuing processing services, subject to certain exceptions.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Either we or Block may terminate the Block Agreement under certain specified circumstances, including upon a material breach. The Block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Marqeta works with Card Networks and Issuing Banks to enable card issuance, authorize transactions, and facilitate settlement for our customers’ card programs. Our contractual relationships with Issuing Banks and Card Networks underpin Marqeta’s ability to design and manage customized card programs for our customers.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and Agreements with Issuing Banks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our customers engage us to do so, we connect them with an Issuing Bank to act as the BIN sponsor for the customer’s card program and we are responsible for managing compliance with the Issuing Bank’s requirements and Card Network rules. Issuing Banks provide services for these customers that can include, among other things, card issuance, Card Network sponsorship, establishing a line of credit, and creating deposit accounts used to settle transactions. Our contracts with Issuing Banks entitle Marqeta to all of the Interchange Fees generated from our customers’ card programs, which we then share with our customers through Revenue Share payments, and obligate us to pay all Card Network fees as well as certain Issuing Bank fees associated with our customers’ card transactions. See the section titled “Management's Discussion and Analysis of Financial Condition and Results of Operations—Components of Results of Operations—Net Revenue” for the definitions of “Interchange Fees” and “Revenue Share.”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an Issuing Bank must ultimately approve each card program, Marqeta configures the program design, negotiates key program terms, and selects the Issuing Bank for each customer. Marqeta actively works to find the most appropriate Issuing Bank partner for the potential card program based on the customer’s needs and program design. We pay volume-based and transaction-based fees to the Issuing Banks. The fees are typically structured based on volume tiers; as our processing volumes grow, these fees as a percentage of processing volume decline. These fees are reflected in our costs of revenue.</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When we do not manage the customer’s relationships with the Issuing Banks or Card Networks, the customer is responsible for managing compliance with, among other things, the Issuing Bank’s requirements and Card Network rules.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customers engage us for a combination of services based on their unique needs. The involvement of our Issuing Banks and the Card Networks in these types of programs will depend on each program’s design.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Sutton Bank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2016, we entered into a prepaid card program manager agreement with Sutton Bank, our largest Issuing Bank partner by processing volume. Under the terms of the agreement, as amended, Sutton Bank, among other things, issues cards and settles payment transactions for Marqeta’s customers’ approved card programs. The agreement provides that we pay Sutton Bank a fee based on a percentage of the value of transactions processed. Under this agreement we are entitled to receive 100% of the Interchange Fees for processing our customers’ card transactions. Our agreement with Sutton Bank requires us to indemnify Sutton Bank for certain losses, subject to specific enumerated exceptions.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certain circumstances, the agreement also requires us to pay termination fees, including fees and costs to Sutton Bank, if we terminate the agreement before the end of its term or any automatic renewal term. The current term of the agreement expires in 2029,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Card Networks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Card Networks oversee their worldwide payment networks, through which debit, credit, and prepaid card payments are authorized, processed, and settled, and, except as limited by applicable law, set Interchange Fee rates. We currently partner with a number of Card Networks, including Visa, Mastercard, and PULSE, to process our customers’ transactions on our platform.</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engaged by our customers to do so, Marqeta arranges for our customers to use one or more of the available Card Networks. We generally include the standard Card Network fees in the pricing arrangements with these customers, which are reflected in our costs of revenue.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Given our ability to direct the processing volume to specific Card Networks for these customers, we are able to negotiate certain incentive rebates that effectively reduce the overall Card Network fees. With the scale of the transactions we process on behalf of our customers, we believe we can continue to negotiate favorable incentive rebates. However, if these fees increase, our gross margin will decrease.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Mastercard</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2020, we entered into a strategic relationship agreement with Mastercard. We have also entered into a number of subsequent arrangements with Mastercard, including certain brand agreements. Under these agreements, as amended,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2017, we entered into a strategic alliance framework agreement with Visa. The agreement has been periodically amended. We have also entered into a number of subsequent arrangements with Visa, as governed by the strategic alliance framework agreement, including a card partner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As of February 2023, the parties have entered into an extension of the card partner agreement under the strategic alliance framework agreement for a term of five years.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 Network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2013, we entered into a direct processor agreement with PULSE Network LLC, which has been subsequently amended. The contract provides Marqeta with tiered incentives based on the processing volume of our customers’ transactions routed through PULSE and its affiliated networks. The current term of the contract expires in 2031 and automatically renews annually thereafter, unless either party provides written notice of its intent not to renew. Either party may terminate the agreement under specified circumstances, including upon a material breach that remains uncured for a specified period of time.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Competitors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compete in a large and evolving market. Our competitors fall into three primary categories: (1) providers with legacy technology platforms, (2) modern API-based providers, and (3) emerging providers. We compete primarily on the basis of our platform’s depth and breadth, offering a more configurable and complete solution for innovators.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principal competitive factors in our market include:</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program types (debit, prepaid, credit);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solutions (issuer-processing, banking &amp; money movement);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multinational reach;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solutions at scale;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flexibility and configurability;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program management;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recognition and reputation;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expertise and customer service.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compare favorably with our competitors on the basis of these factors. 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Factors—Risks Relating to Our Business and Industry—We participate in markets that are competitive and continuously evolving, and if we do not compete successfully with established companies and new market entrants, our business, results of operations, financial condition, and future prospects could be materially and adversely affected” for additional information regarding the competitive environment in which we operate.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seek to protect our intellectual property by relying on a combination of patents, trademarks, copyrights, trade secrets, license agreements, confidentiality procedures, non-disclosure agreements, and employee confidential information and invention assignment agreements, as well as other legal and contractual rights.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 patent program designed to cover various aspects of our business in the United States and internationally. These patents and patent applications are intended to protect our proprietary inventions relevant to our business. We continually review our development efforts to assess the existence of new intellectual property and our ability to patent new intellectual property.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have an ongoing trademark and service mark registration program pursuant to which we register our brand names and product names, taglines, and logos in the United States and internationally to the extent we determine appropriate and cost-effective. We have also registered domain names for websites that we use in our business, such as www.marqeta.com and other similar variations.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See the section titled “Risk Factors—Risks Relating to Intellectual Property” for a more comprehensive description of risks related to our intellectual property and proprietary rights.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efforts focus on building enterprise-grade product and service capabilities for our customers and their cardholders. Our design, product, engineering, and customer success teams collaborate to design, build, deploy, and monitor our platform. We enable our customers to build solutions on our platform, which connects to our Issuing Banks and Card Networks. Software development is primarily executed by our team of professionals across design, product management, and engineering disciplines. We intend to continue to invest in our research and development capabilities to extend our platform offerings.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directly, or indirectly through our relationships with our Issuing Banks, customers, or Card Networks, to a number of laws and regulations. The regulatory environment in which we operate is rapidly evolving, and some of the most significant government regulations that impact our business are discussed below. For more information on the risks relating to our regulatory environment, see the section titled “Risk Factors—Risks Relating to Regulation.”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of 2010 (the “Dodd-Frank Act”) created the Consumer Financial Protection Bureau (the “CFPB”) which regulates consumer financial products or services. Due to our relationships with Issuing Banks and Card Networks, we may be subject to direct or indirect supervision and examination by the CFPB. CFPB rules, examinations, investigations, and enforcement actions against us or our Issuing Banks, Card Networks, or customers may require us to adjust our activities and may increase our compliance costs.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provide services that are subject to various laws and regulations relating to privacy, data protection, and information security, including, among others, the Gramm-Leach-Bliley Act, the EU General Data Protection Regulation, the United Kingdom General Data Protection Regulation, and the California Consumer Protection Act. We maintain privacy policies and terms of service, which describe our practices concerning the use, transmission, and disclosure of certain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platform hosts, transmits, processes, and stores payment card data and is therefore required to comply with the PCI DSS.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are subject to PCI DSS audits and must comply with related security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Issuing Banks must comply with the bylaws, regulations, and requirements that are set forth by the Card Networks, including the PCI DSS and other applicable data security program requirements. In providing services through our platform, we are certified and registered with certain Card Networks as a processor for member institutions. As such, we are subject to applicable Card Network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Debit, and Credit Card Regulations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Durbin Amendment to the Dodd-Frank Act directs the Federal Reserve Board to regulate debit card Interchange Fees so that they are “reasonable and proportional” to the cost incurred by the card issuer with respect to the transaction. We generally work with Issuing Banks that are exempt from the Interchange Fee caps in the Durbin Amendment to provide services for prepaid and debit card programs. We continue to monitor proposed changes to the Durbin Amendment as well as state level regulation of Interchange Fees.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debit and prepaid card programs that we manage for our customers may be subject to various federal and state laws and regulations, including, but not limited to, the Electronic Fund Transfer Act and its implementing Regulation E, which establishes the basic rights, liabilities, and responsibilities of consumers who use electronic fund transfer services and of financial institutions that offer these services. Regulation E includes requirements specific to consumer prepaid accounts, including certain accounts that are capable of being loaded with funds and whose primary function is to conduct transactions with multiple, unaffiliated merchants, at ATMs, or for person-to-person transfers. These regulations include, among other things, disclosure of fees to the consumer prior to the creation of a prepaid account; liability limits and error-resolution requirements; regulation of prepaid accounts with overdraft and credit features; and the submission of prepaid account agreements to the CFPB and the publication of such agreements to the general public.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Similarly, we may directly or indirectly be subject to various federal and state consumer credit protection regimes as a result of our credit platform and relationship with originating Issuing Banks, including, among others:</w:t>
      </w:r>
    </w:p>
    <w:p>
      <w:pPr>
        <w:spacing w:after="0" w:line="45" w:lineRule="exact"/>
        <w:rPr>
          <w:sz w:val="20"/>
          <w:szCs w:val="20"/>
          <w:color w:val="auto"/>
        </w:rPr>
      </w:pPr>
    </w:p>
    <w:p>
      <w:pPr>
        <w:jc w:val="both"/>
        <w:ind w:left="66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Equal Credit Opportunity Act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spacing w:after="0" w:line="14"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Credit Reporting Act, as amended by the Fair and Accurate Credit Transactions Act, and Regulation V promulgated thereunder, which promote the accuracy, fairness, and privacy of information in the files of consumer reporting agencies;</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Truth-in-Lending Act, as amended by the Credit Card Accountability, Responsibility, and Disclosure Act of 2009, and Regulation Z promulgated thereunder, which require certain disclosures to consumers regarding the terms and conditions of loans, credit cards, and credit transactions;</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Military Lending Act and similar state laws, which provide disclosure requirements, interest rate limitations, substantive conduct obligations, and prohibitions on certain behavior relating to loans made to covered borrowers, which include both servicemembers and their dependents; and</w:t>
      </w:r>
    </w:p>
    <w:p>
      <w:pPr>
        <w:spacing w:after="0" w:line="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Servicemembers Civil Relief Act and similar state laws, which allows active duty military members to suspend or postpone certain civil obligations so that the military member can devote his or her full attention to military duties.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Sanctions Compliance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United States, the Currency and Foreign Transactions Reporting Act, known as the Bank Secrecy Act (the “BSA”) and amended by the USA PATRIOT Act of 2001, contains a variety of provisions aimed at fighting terrorism and money laundering. Among other things, the BSA and implementing regulations issued by the U.S. Treasury Department require certain financial institutions to establish AML programs, to not engage in terrorist financing, to report suspicious activity, and to maintain a number of related records. Although we are not a BSA regulated entity subject to anti-money laundering (“AML”) registration requirements under U.S. federal or state law, or licensure requirements as a money transmitter (or its equivalent) under state law, we are subject to certain AML laws and regulations, such as sanctions and anti-bribery, in various jurisdictions.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our relationships with Issuing Banks that are directly subject to the BSA, we have implemented an AML program designed to prevent our platform from being used to facilitate money laundering, terrorist financing, and other illicit activity. When providing program management services, we design our AML program to meet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 and equivalent foreign authorities. Our AML compliance program includes policies, procedures, reporting protocols, and internal controls to guard against money laundering, terrorist financing, and other illicit activity, including the designation of a compliance officer in the United States and in other jurisdictions to oversee our AML compliance program, and it is designed to assist in managing risk associated with money laundering and terrorist financing.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(the “FCPA”), the U.S. domestic bribery statute contained in 18 U.S.C. § 201, the U.S. Travel Act, the U.K. Bribery Act 2010, and other anti-corruption and anti-bribery laws in countries where we conduct activities.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FCPA includes anti-bribery and accounting provisions enforced by the Department of Justice and the Securities and Exchange Commission (the “SEC”). The statute has a broad reach, covering all U.S. companies and citizens doing business abroad, among others, and defining a foreign official to include not only those holding public office but also local citizens affiliated with foreign government- run or owned organizations. The statute also requires maintenance of appropriate books and records and maintenance of adequate internal controls.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examination by our Issuing Banks’ regulators and must comply with certain regulations to which these banks are subject, as applicable. For instance, due to our relationships with certain Issuing Banks and certain customers, we may be subject to indirect supervision and examination by the Federal Deposit Insurance Corporation (the “FDIC”), state banking regulators (such as the California Department of Financial Protection and Innovation), the Office of the Comptroller of the Currency, and the Federal Reserve Bank in connection with our platform and certain of our products and services. We are also subject to audit by certain Issuing Banks. As a program manager for the Issuing Banks we work with, we are subject to the Issuing Banks’ risk management standards for third-party relationships in accordance with supervisory guidance and examination by certain federal banking agencies.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our subsidiary, Marqeta Services LLC, has obtained a number of state-level licenses in the United States for servicing, collections, and brokering activities, and is subject to direct supervision and regulatory obligations under applicable state laws.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services. For instance, we are subject to processing fee and transaction fee regulation where our cards are used and may in the future be subject to Interchange Fee regulations in other countries where our cards are used. Additionally, following our acquisition of TransactPay, we are also directly licensed as an e-money institution in the UK, Gibraltar, and the EEA, with authorizations from the Gibraltar Financial Services Commission and Malta Financial Services Authority. This subjects us to direct supervision and regulatory obligations under applicable European payment services and e-money laws. In addition, the Bank of Canada now supervises our subsidiary, Marqeta Payments LLC, as a registered payment service provider under Canada's Retail Payment Activities Act.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and Data Protection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Privacy and data protection is a shared responsibility amongst all our employees. To support this effort, Marqeta maintains a dedicated Privacy team that is responsible for the development, implementation, and oversight of a global privacy program and strategy.</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privacy-specific policies, standards, and related governance, Marqeta’s Privacy team has developed a set of internal Privacy Principles to guide our collection and management of personal data in a manner that is intended to be compliant with applicable law. Marqeta employees are also required to undertake privacy training at hire and on a yearly basis. These controls are supplemented by ongoing privacy risk assessments and periodic auditing.</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also maintain a number of external and internal-facing privacy notices that describe how we collect and manage the personal data entrusted to us, including personal data provided by our customers, website visitors, employees, and applicants.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we had a total of 938 employees and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prospective employees.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were incorporated in 2010 under the name Marqeta, Inc. as a Delaware corporation. Our Class A common stock is listed on the Nasdaq Global Select Market (“Nasdaq”), under the symbol “MQ.” Our principal executive offices are located at 180 Grand Avenue, 6th Floor, Oakland, CA 94612, and our telephone number is (510) 671-5437.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website is located at www.marqeta.com, and our investor relations website is located at www.investors.marqeta.com. Copies of our Annual Report on Form 10-K, Quarterly Reports on Form 10-Q, Current Reports on Form 8-K, and amendments to these reports filed or furnished pursuant to Section 13(a) or 15(d) of the Securities Exchange Act of 1934, as amended (the “Exchange Act”), are available, free of charge, on our investor relations website as soon as reasonably practicable after we file such material electronically with or furnish it to the SEC. The SEC also maintains a website that contains our SEC filings. The address of the site is www.sec.gov. We use our www.investors.marqeta.com and www.marqeta.com websites, as well as our blog posts, press releases, public conference calls, webcasts, our X feed (@Marqeta), our Instagram page (@lifeatmarqeta), our Facebook page, and our LinkedIn page, as a means of disclosing material nonpublic information and for complying with our disclosure obligations under Regulation FD.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231F20"/>
        </w:rPr>
        <w:t>Investing in our Class A common stock involves a high degree of risk. You should carefully consider the risks and uncertainties described below, together with all of the other information in this Annual Report on Form 10-K and our Consolidated Financial Statements and the related notes and the section titled “Management’s Discussion and Analysis of Financial Condition and Results of Operations,” before making a decision to invest in our Class A common stock. Our business, results of operations, financial condition, and prospects could also be harmed by risks and uncertainties not currently known to us or that we do not currently believe to be material.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 Factors Summary</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231F20"/>
        </w:rPr>
        <w:t>Our business is subject to numerous risks and uncertainties that you should consider before investing in our company. The following is a summary of some of these risks and uncertainties. This summary should be read together with the more detailed description of each risk factor below.</w:t>
      </w:r>
    </w:p>
    <w:p>
      <w:pPr>
        <w:spacing w:after="0" w:line="1" w:lineRule="exact"/>
        <w:rPr>
          <w:sz w:val="20"/>
          <w:szCs w:val="20"/>
          <w:color w:val="auto"/>
        </w:rPr>
      </w:pPr>
    </w:p>
    <w:p>
      <w:pPr>
        <w:ind w:left="340" w:hanging="332"/>
        <w:spacing w:after="0" w:line="281" w:lineRule="auto"/>
        <w:tabs>
          <w:tab w:leader="none" w:pos="322"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We have experienced rapid growth and our past growth rates may not be indicative of future growth rates. If we fail to manage growth effectively, our business and financial results may be adversely affected.</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attract new customers and retain existing customers in a cost-effective manner.</w:t>
      </w:r>
    </w:p>
    <w:p>
      <w:pPr>
        <w:spacing w:after="0" w:line="63"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participate in markets that are competitive and continuously evolving, and, if we do not compete successfully, our business, results of operations, financial condition, and future prospects may be adversely affected.</w:t>
      </w:r>
    </w:p>
    <w:p>
      <w:pPr>
        <w:jc w:val="both"/>
        <w:ind w:left="340" w:hanging="332"/>
        <w:spacing w:after="0" w:line="268"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and financial results.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net losses and we may not be able to achieve or sustain profitability.</w:t>
      </w:r>
    </w:p>
    <w:p>
      <w:pPr>
        <w:spacing w:after="0" w:line="63"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results fluctuate significantly and may not fully reflect the underlying performance of our business, making it difficult to accurately forecast future results. If we fail to meet the expectations of financial analysts or investors, our stock price and the value of your investment could decline.</w:t>
      </w:r>
    </w:p>
    <w:p>
      <w:pPr>
        <w:spacing w:after="0" w:line="7"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our relationships with Issuing Banks and Card Networks, and if we are unable to maintain these relationships, our business may be adversely affected.</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If our credit platform or other credit programs are inaccurate, do not perform as intended, or lack sufficient capacity to meet demand, our business may be adversely affected.</w:t>
      </w:r>
    </w:p>
    <w:p>
      <w:pPr>
        <w:spacing w:after="0" w:line="1" w:lineRule="exact"/>
        <w:rPr>
          <w:rFonts w:ascii="Arial" w:cs="Arial" w:eastAsia="Arial" w:hAnsi="Arial"/>
          <w:sz w:val="18"/>
          <w:szCs w:val="18"/>
          <w:color w:val="231F20"/>
        </w:rPr>
      </w:pPr>
    </w:p>
    <w:p>
      <w:pPr>
        <w:ind w:left="340" w:hanging="332"/>
        <w:spacing w:after="0" w:line="28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disputes, regulatory actions, and government or legal investigations could be costly and time-consuming to defend, and our business may be adversely affected by our involvement or the outcome of such litigation, disputes, actions, or investigations.</w:t>
      </w:r>
    </w:p>
    <w:p>
      <w:pPr>
        <w:spacing w:after="0" w:line="1"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subject to regulation and oversight in a variety of areas, directly and indirectly through our relationships with customers, Issuing Banks, and Card Networks, which regulations are subject to change and to uncertain interpretation. Compliance with such laws and regulations could result in additional costs and any failure to comply could materially harm our business and financial condition.</w:t>
      </w:r>
    </w:p>
    <w:p>
      <w:pPr>
        <w:spacing w:after="0" w:line="8"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maintain an effective system of disclosure controls and procedures or internal control over financial reporting, our ability to report timely and accurate financial results or comply with applicable regulations could be impaired, and our business, operating results, and the price of our Class A common stock may be adversely affected.</w:t>
      </w:r>
    </w:p>
    <w:p>
      <w:pPr>
        <w:spacing w:after="0" w:line="8"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trading price of our Class A common stock has been and is likely to continue to be volatile, which could cause the value of your investment to decline.</w:t>
      </w:r>
    </w:p>
    <w:p>
      <w:pPr>
        <w:spacing w:after="0" w:line="1"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spacing w:after="0" w:line="7"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cannot guarantee that our share repurchase program will enhance long-term stockholder value. Share repurchases could also affect the trading price of our stock and may reduce working capital.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Our Business and Industry</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We have experienced rapid growth and our past growth rates may not be indicative of future growth rates. If we fail to manage growth effectively, our business and financial results may be adversely affected.</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For the year ended December 31, 2025, net revenue increased 23% to $624.9 million, from $507.0 million in 2024. Our net revenue decreased in the year ended December 31, 2024, primarily driven by the August 2023 Block Amendment which allowed for reduced pricing and impacted the revenue presentation for the Cash App program as fees owed to Issuing Banks and Card Networks related to the Cash App primary Card Network volume are recorded as a reduction to the revenue earned from the Cash App program within Net revenue effective as of July 1, 2023. In prior periods, these costs were included within Costs of revenue. Our total net revenue was $624.9 million, $507.0 million, and $676.2 million for the years ended December 31, 2025, 2024, and 2023, respectively, a increase of 23% and a decrease</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231F20"/>
        </w:rPr>
        <w:t>of 25% from the prior years, respectively. We believe our net revenue growth depends on several factors, including, but not limited to, our ability to:</w:t>
      </w:r>
    </w:p>
    <w:p>
      <w:pPr>
        <w:spacing w:after="0" w:line="8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acquire new customers and retain existing customers on favorable terms;</w:t>
      </w:r>
    </w:p>
    <w:p>
      <w:pPr>
        <w:spacing w:after="0" w:line="27" w:lineRule="exact"/>
        <w:rPr>
          <w:rFonts w:ascii="Arial" w:cs="Arial" w:eastAsia="Arial" w:hAnsi="Arial"/>
          <w:sz w:val="18"/>
          <w:szCs w:val="18"/>
          <w:color w:val="231F20"/>
        </w:rPr>
      </w:pPr>
    </w:p>
    <w:p>
      <w:pPr>
        <w:ind w:left="660" w:hanging="328"/>
        <w:spacing w:after="0" w:line="250" w:lineRule="auto"/>
        <w:tabs>
          <w:tab w:leader="none" w:pos="655"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achieve widespread acceptance and use of our platform and the products and services we offer, including in markets outside of the United States;</w:t>
      </w: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increase our offerings, TPV, and the number of customers and transactions on our platform;</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effectively scale our operations, including successfully integrating acquired businesses and technology;</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231F20"/>
        </w:rPr>
        <w:t>expand our product and service offerings;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diversify our customer base;</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maintain and grow our network of vendors, Issuing Banks, and Card Networks;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maintain the security and reliability of our platform;</w:t>
      </w:r>
    </w:p>
    <w:p>
      <w:pPr>
        <w:spacing w:after="0" w:line="9" w:lineRule="exact"/>
        <w:rPr>
          <w:rFonts w:ascii="Arial" w:cs="Arial" w:eastAsia="Arial" w:hAnsi="Arial"/>
          <w:sz w:val="18"/>
          <w:szCs w:val="18"/>
          <w:color w:val="231F20"/>
        </w:rPr>
      </w:pPr>
    </w:p>
    <w:p>
      <w:pPr>
        <w:ind w:left="660" w:right="20" w:hanging="328"/>
        <w:spacing w:after="0" w:line="250" w:lineRule="auto"/>
        <w:tabs>
          <w:tab w:leader="none" w:pos="655"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adjust for the impact of the anticipated accounting treatment of our customer agreements and the risk that such accounting treatment may be subject to further changes or developments;</w:t>
      </w: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adapt to changes in laws and regulations applicable to our business;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adapt to changing macroeconomic conditions and evolving conditions in the payments industry; and</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successfully compete against established companies and new market entrants.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We have also historically experienced significant growth in the number of customers using our platform, the number of card programs and solutions we manage for our customers, and TPV on our platform. Our TPV was $ 382.5 billion, $291.1 billion, and $222.3 billion for the years ended December 31, 2025, 2024, and 2023, respectively, an increase of 31% and 31% from the prior years, respectively.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Net revenue and TPV for any prior period should not be relied on as an indication of our future performance. If our TPV and net revenue growth rates decline, we may not achieve profitability as expected, and our business, financial condition, results of operations, and the price of our Class A common stock would be adversely affected.</w:t>
      </w:r>
    </w:p>
    <w:p>
      <w:pPr>
        <w:spacing w:after="0" w:line="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Our growth has placed, and may continue to place, significant demands on our management and our operational and financial resources. We will need to continue to grow and improve our operational, financial, and information technology controls, and our reporting systems and procedures. We will require significant capital expenditures and the allocation of valuable management resources to expand our systems and infrastructure. If we fail to manage our growth effectively, our business and financial results may be adversely affected.</w:t>
      </w:r>
    </w:p>
    <w:p>
      <w:pPr>
        <w:spacing w:after="0" w:line="8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Future net revenue growth depends on our ability to attract new customers and retain existing customers in a cost-effective manner.</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If we are unable to attract new customers, retain existing customers on favorable terms, grow and develop those relationships, and expand our platform in a way that serves the needs of these customers to drive increased processing volumes, our business, results of operations, financial condition, and future prospects would be adversely affected. There are a number of factors that affect our ability to attract new customers and retain existing customers, many of which are outside of our control and are difficult to predict, including, but not limited to changing levels of regulatory scrutiny over banks that sponsor financial technology programs and the risk factors included in this section.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While historically our customers generally have not been subject to material minimum volume commitments under their contracts and have not had material contractual obligations to continue using our platform, products, or services, we increasingly require contractual obligations related to exclusivity and preferred provider status related to our products and services. Accordingly, our legacy customers that do not have these contractual obligations may have, or may enter into in the future, similar agreements with our competitors, which could adversely affect our ability to drive the processing volume and revenue growth that we seek to achieve. Some of our customer contracts provide for a termination clause that allows our customers to terminate their contract at any time following a limited notice period.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loss of customers or reductions in their processing volumes, particularly any loss of or reductions by Block, may adversely affect our business, results of operations, and financial condition. To achieve continued growth, we must not only maintain our relationships with our existing customers, but also encourage them to renew their contracts with us and to increase adoption and usage of our products. For example, customers can have multiple card programs on our platform across different use cases and geographies. However, we cannot assure you that customers will continue to use our platform or that we will be able to continue processing transactions on our platform at the same rate as we have in the past.</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We participate in markets that are competitive and continuously evolving, and, if we do not compete successfully, our business, results of operations, financial condition, and future prospects may be adversely affected.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We operate in a highly competitive and dynamic industry and we expect competition to increase in the future as established and emerging companies continue to enter the markets we serve or attempt to address the problems that our platform addresses. We face competition along several dimensions, including providers with legacy technology platforms, such as Fidelity National Information Services (FIS) and Fiserv; modern API-based providers, such as Galileo, i2c, and Visa DPS; and emerging providers, such as Adyen and Stripe. We believe that the principal competitive factors in our market include: pricing; multiple program types (debit, prepaid, credit); multinational reach; complete solutions at scale; flexibility and configurability; reliability; compliance solutions; program management; brand recognition and reputation; and industry expertise and customer service. Moreover, as we expand the scope of our platform, we may face additional competition.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other substantially greater resources. Such competitors may be able to respond more quickly and effectively than we can to new or changing opportunities, technologies, standards, customer requirements, or regulatory developments. If we are unable to successfully compete, our growth could slow or decline, which would materially and adversely affect our business, results of operations, financial condition, and future prospects.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results of operations, financial condition, and future prospects.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small number of customers account for a large percentage of our net revenue. As discussed further in the section titled “Management’s Discussion and Analysis of Financial Condition and Results of Operations,” for the years ended December 31, 2025, 2024, and 2023, Block accounted for 45%, 47%, and 68% of our net revenue, respectively.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revenue from Block decreased over the second half of 2023 and through 2024 as a percentage of our total net revenue, due to the terms of the August 2023 Block Amendment coupled with growth in other customers. We renewed the Block Agreement in August and November 2023, and the current term for both the Cash App and Square Debit Card programs expires in June 2028. The Block Agreement automatically renews thereafter for successive one-year periods. The August 2023 Block Amendment provides that Block is responsible for defining and managing the Cash App program with respect to the primary Card Network going forward.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However, we expect that net revenue from a relatively small group of customers, including Block, will continue to account for a significant portion of our net revenue in the near term. The concentration of a large percentage of our net revenue with a limited number of customers exposes us disproportionately to any of those customers choosing to stop using our platform or using our platform in a reduced capacity, reducing their processing volume with us, or renegotiating, terminating, or failing to renew their agreements with us, renewing their agreements with us on different terms, or choosing to change network relationships. For example, the August 2023 Block Amendment renewed our agreement with Block for the Cash App program on different terms, which reduced reported net revenue</w:t>
      </w:r>
      <w:r>
        <w:rPr>
          <w:rFonts w:ascii="Arial" w:cs="Arial" w:eastAsia="Arial" w:hAnsi="Arial"/>
          <w:sz w:val="18"/>
          <w:szCs w:val="18"/>
          <w:color w:val="231F20"/>
        </w:rPr>
        <w:t>. Should any of those</w:t>
      </w:r>
      <w:r>
        <w:rPr>
          <w:rFonts w:ascii="Arial" w:cs="Arial" w:eastAsia="Arial" w:hAnsi="Arial"/>
          <w:sz w:val="18"/>
          <w:szCs w:val="18"/>
          <w:color w:val="auto"/>
        </w:rPr>
        <w:t xml:space="preserve"> </w:t>
      </w:r>
      <w:r>
        <w:rPr>
          <w:rFonts w:ascii="Arial" w:cs="Arial" w:eastAsia="Arial" w:hAnsi="Arial"/>
          <w:sz w:val="18"/>
          <w:szCs w:val="18"/>
          <w:color w:val="231F20"/>
        </w:rPr>
        <w:t>events occur, our business, results of operations, and financial condition may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history of net losses and we may not be able to achieve or sustain profitability.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significant net losses since our inception, except for the year ended December 31, 2024. For the year ended December 31, 2024, we had net income of $27.3 million, which was primarily due to the forfeiture of the Executive Chairman Long-Term Incentive Award. We had net losses of $13.9 million and $223.0 million for the years ended December 31, 2025 and 2023, respectively. As of December 31, 2025 and December 31, 2024, our accumulated deficit was approximately $811.8 million and $ 797.9 million, respectively. We may continue to incur net losses and may fail to achieve profitability. We anticipate our operating expenses to continue to increase in the foreseeable future as we hire additional personnel, adjust compensation packages to hire new or retain existing employees, expand our operations and infrastructure, and continue to enhance and expand our platform, products, and services. These initiatives may be more costly than we expect and may not result in increased net revenue. Further as we expand our offerings to additional markets, our offerings in these markets may be less profitable than the markets in which we currently operate.</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as a public company, we have incurred, and we will continue to incur, additional significant legal, insurance, accounting, and other expenses that we did not incur as a private company.</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may make decisions that may reduce our short-term operating results if we believe those decisions will improve the experiences of our customers and their end users,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231F20"/>
        </w:rPr>
        <w:t>Our results fluctuate significantly and may not fully reflect the underlying performance of our business, making it difficult to accurately forecast future results. If our results fail to meet the expectations of financial analysts or investors, our stock price and the value of your investment could decline.</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for a given period may not fully reflect the underlying performance of our business and fluctuate as a result of a number of factors, many of which are outside of our control and are difficult to predict, including, but not limited to the risk factors included in this section. You should not rely on our past results as an indicator of our future performance. If our results of operations or other operating metrics fall short of the expectations of investors and financial analysts, the trading price of our Class A common stock could be adversely affected and the value of your investment could decline.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Forecasting our future results of operations is challenging because of such fluctuations and because our net revenue depends in part on our customers’ end users. Additionally, forecasting our performance can be impacted by a number of factors that are difficult to predict or control including, but not limited to, customer renewals, volume migration, and performance of new customers. As customers scale and become more sophisticated, they may seek to diversify, which could impact our renewal economics and our share of the processing volume. New customer performance is difficult to predict as there is a large spectrum of potential outcomes from very successful, hypergrowth customers to customers that never launch, and these outcomes are largely out of our control.</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transaction mix adds further complexity. Our transaction mix refers to the proportion of signature debit versus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Accordingly, we have in the past and may in the future be unable to prepare accurate internal financial forecasts, and our results of operations in future reporting periods has and may differ materially from our estimates and forecasts or the expectations of investors or financial analysts, causing our business to suffer and our Class A common stock trading price to decline.</w:t>
      </w:r>
    </w:p>
    <w:p>
      <w:pPr>
        <w:spacing w:after="0" w:line="6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We rely on our relationships with Issuing Banks and Card Networks, and if we are unable to maintain these relationships, our business may be adversely affected.</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our relationships with Issuing Banks and Card Networks to provide certain services in connection with our platform, products, and services. We have in the past and may in the future pay certain amounts in association with these relationships, regardless of whether we were compelled to under law or contract. In addition, we have in the past and may in the future have disagreements with Issuing Banks and Card Networks. If we are unable to maintain the quality of these relationships or fail to comply with our related contractual requirements, our business would be adversely affected.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payment transactions are settled through a small number of Issuing Banks. For the years ended December 31, 2025, 2024, and 2023, 64%, 70%, and 76%, respectively, of TPV was settled through one Issuing Bank, Sutton Bank. If Sutton Bank terminates our agreement with them or is unable or unwilling to settle our transactions for any reason, we may be required to switch some or all of our processing volume to one or more other Issuing Banks, including to any of the other Issuing Banks with which we currently contract. Switching processing volume to another Issuing Bank would take time and could result in additional costs or loss of revenue or customers, which may adversely affect our business.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agreements with Card Networks that, among other things, provide us certain monetary incentives based on the processing volume of our customers’ transactions routed through the respective Card Network. The timing and extent of amendments or new contracts related to our volume incentive arrangements with Card Networks could result in incentive payments that are recorded in a current period and based on volume processed in a prior period. We currently include Card Network fees in the pricing arrangements with the majority of our customers who engage us to arrange their use of one or more of the Card Networks. If these customers were to manage the relationship with the Card Networks directly, our reported net revenue may decrease. For example, the August 2023 Block Amendment provides that Block will be responsible for defining and managing the Cash App program with respect to the primary Card Network going forward which has the effect of reducing reported net revenue.</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intend to continue expanding and deepening our relationships with Issuing Banks and Card Networks. Diversifying these contractual relationships and operations increases the complexity of our operations and has led and may continue to lead to increased costs.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platform, impose additional costs or requirements on us, or give preferential treatment to competitive services, including their own. If we are unsuccessful in establishing, renegotiating, or maintaining relationships with Issuing Banks or Card Networks, our business may be adversely affected.</w:t>
      </w:r>
    </w:p>
    <w:p>
      <w:pPr>
        <w:spacing w:after="0" w:line="7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Performance issues, systems failures, and interruptions in the availability of our platform may adversely affect our business, results of operations, and financial condition.</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Our continued growth depends on the efficient operation of our platform. Any significant disruption, outage, data loss, or errors in service on our platform, including events beyond our control, such as infrastructure changes or failures, or human or software errors could have a material and adverse effect on our business and financial condition. We have experienced such performance incidents in the past and expect that we will continue to periodically experience such performance issues in the future.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Our platform is designed to process a high number of transactions and deliver reports and other information related to those transactions at high processing speeds. We have in the past and may in the future experience errors, inaccuracies, or omissions in our processing, reconciling, or reporting of transactions. The risk of performance issues has increased in recent periods due to the significant increase in our TPV and increases further with new product launches and geographical expansion. We release regular updates to our platform, which have in the past contained, and may in the future contain, undetected errors, failures, and bugs. Any platform performance issues could lead to claims by customers, vendors, Card Networks, Issuing Banks, or other third parties, or other claims, regulatory fines, or proceedings. It could also damage ours and our customers’ businesses and, in turn, hurt our brand and reputation.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The performance, availability, and connectivity of the data centers, cloud-based solutions, and other third parties that provide core services such as computing and storage infrastructure for our platform are outside of our control. If any of these infrastructure providers fail to provide sufficient capacity to support our platform or otherwise experience service outages, we may experience interruptions in our ability to operate our platform and our business could be adversely affected. We have experienced, and expect to continue to periodically experience, outages of the services provided by these providers.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If we are not able to maintain the level of service uptime and performance needed by our customers, they could face longer processing times or downtime as a result. If customers are unable to access our platform within a reasonable amount of time, or at all, we may not be able to meet the service level commitments typically provided for in our customer contracts and we would be contractually obligated to provide service level credits. We have experienced incidents, including incidents outside our control, and expect we may experience incidents in the future requiring us to pay service level credits and other customer service concessions.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addition, our insurance policies may not adequately compensate us for any losses that we may incur as a result of damage or interruption. Further, we are continuing to refine our enterprise resilience functions such as business continuity, crisis management, and disaster recovery. Our disaster recovery plan has not been tested under actual disaster conditions, and we may not have sufficient capacity to recover all data and services in the event of an outage. Therefore, any performance issue, systems failure, outage, or interruption in the availability of our platform would adversely affect our business, and could subject us to financial penalties and liabilities.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231F20"/>
        </w:rPr>
        <w:t>Any real or perceived improper or unauthorized use of, disclosure of, or access to our or our customers’ and other third parties’ confidential, proprietary, or sensitive data, including by cyberattacks, security breaches or incidents, or employee or other misconduct, could expose us to liability and damage our reputation.</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Our operations depend on receiving, storing, transmitting, and otherwise processing sensitive information pertaining to our business, employees, customers, and customers’ end users. The confidentiality, integrity, and availability of such information residing on or processed using our systems is important to our business. While we have an internal security program, the success of such program has been, and will continue to be, impacted by new and existing vulnerabilities, human error, resource constraints, the efficiency of our processes and procedures, and management of gaps in controls. The integrity of our internal security program is also subject to changing standards or interpretations of standards as new frameworks are introduced and existing frameworks evolve.</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We use vendors to perform certain services for us, in some cases involving management or other processing of sensitive data, and these vendors face similar security threats to the confidentiality, security, and integrity of their systems and the data they process for us. Unauthorized parties have attempted and will continue to attempt to gain access to our platform, systems, or facilities, and those of our customers, vendors, and other third parties with which we do business using a variety of methods such as cloud account takeover attacks, software lifecycle compromise, denial-of-service attacks, generative artificial intelligence impersonation, phishing attacks and other forms of social engineering, and ransomware and other malicious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We have incorporated and may continue to incorporate artificial intelligence (“AI”) solutions and features (including, for example, AI solutions utilizing generative AI, model context protocol (“MCP”) servers and agentic AI) into our platform and other aspects of our business and operations. The use of AI solutions and features in our business may increase or create additional cybersecurity risks, including risks of security breaches, data leaks, and other incidents.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Also, due to political uncertainty and military actions associated with geopolitical tensions, we and the third parties with which we work may be vulnerable to heightened risks of security breaches and incidents.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Any attempted, perceived, or actual breach or incident could disrupt our systems and other aspects of our operations, result in unauthorized or unlawful access to or loss, modification, unavailability, misuse, or other unauthorized processing of ours and our employees’ data and the data of third parties with which we work, have a significant impact on our reputation as a trusted brand, and expose us to legal risk and potential liability, and costs associated with remediation. Further, if there is a breach impacting payment card information that we store, process, or transmit or that is stored, processed, or transmitted by our customers or other third parties that we do business with, we could be liable to the Issuing Banks or our customers for certain of their costs and expenses, in addition to the potential for fines, penalties, and other liabilities.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While we believe that none of the incidents that we have identified to date have materially impacted us, we cannot be certain that the security measures we have in place to detect and address security breaches, incidents, and other disruptions and protect sensitive data will be sufficient to counter the risks and threats facing us, our customers, and our vendors. We and our vendors may be unable to anticipate, react to, remediate, or otherwise address any actual or attempted security breach or other security incident in a timely manner, or implement adequate preventative measures. Any security breach or incident involving our systems or data, or those of our customers or vendors, could have a material adverse effect on our business, results of operations, and financial condition. Even the perception of inadequate security may damage our reputation and negatively impact our ability to gain new customers and retain existing customers. We expect to invest significant resources to maintain and enhance our information security program and controls in compliance with industry standards and applicable laws and regulations; however, if we experience resourcing constraints, our investments and the result of such investments may be delayed.</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We have adopted a flexible-first work environment, and expect to continue to be subject to challenges and risks associated with having a remote workforce, in addition to the privacy and cybersecurity risks noted throughout this section. For example, our employees and contractors are accessing our servers remotely through home or other networks to perform their job responsibilities. Such security systems may be less secure than those used in our offices, which may subject us to increased security risks, and expose us to greater risks of data or financial loss and associated disruptions to our business operations. In addition, any inability to track and manage hardware and software assets across our remote workforce could lead to loss of intellectual property, a security breach or incident, and unauthorized access to our systems and applications, potentially adversely affecting our business and financial condition.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While we maintain cybersecurity insurance, our insurance may be insufficient to cover all liabilities incurred by a cybersecurity breach or incident. We cannot be certain that our insurance coverage will be adequate for liabilities actually incurred, that insurance will continue to be available to us on economically reasonable terms, or at all, or that an insurer will not deny coverage as to any future claim. If a claim exceeds available insurance coverage or if the conditions of our insurance policies change, our business or financial condition could be adversely affected.</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depends on a strong, trusted brand, and any failure to maintain, protect, enhance, and effectively market our brand would adversely affect our business.</w:t>
      </w:r>
    </w:p>
    <w:p>
      <w:pPr>
        <w:spacing w:after="0" w:line="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Negative publicity about us or our industry could adversely affect our business, results of operations, financial condition, and future prospects. We have developed a strong and trusted brand that has contributed significantly to the success of our business. We believe that maintaining and promoting our brand in a cost-effective manner is important to the continued growth of our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failure to maintain high quality customer support, or a market perception that we do not maintain high quality customer support, could erode customer trust and adversely affect our reputation, business, results of operations, and financial condition. If we do not devote sufficient resources or are otherwise unsuccessful in assisting our customers effectively, it could adversely affect our ability to retain existing customers and could prevent prospective customers from adopting our platform.</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Harm to our brand can arise from many other sources as well, including inadequate protection or misuse of sensitive information, compliance failures, litigation, and other claims, and misconduct by our employees, contractors, or vendors. We may also be the target of incomplete, inaccurate, and misleading or false statements about our company and our business that could damage our brand and deter customers from adopting our services. As a result, our business, results of operations, financial condition, and future prospects would be materially and adversely affected.</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Our new products and technologies have a limited performance history, and any failure to execute on our related strategy could have an adverse impact on our business and financial condition.</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Net revenue growth attributed to our new technologies, such as portfolio migration, UX Toolkit, and the development of Marqeta Hub is dependent on increasing the number of existing customers or new customers who use our platform and these capabilities. Failure to scale these technologies, a competitive market, or failure to bring Marqeta Hub to market could adversely affect our business and financial results.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We may introduce other new products, technologies, or business opportunities in the future. Our failure to accurately predict the demand or growth of new products, technologies, or businesses could have a material and adverse effect on our business, results of operations, financial condition, and future prospects. New products, technologies, and businesses are inherently risky, due to, among other things, risks associated with: the product, technology, or business not working, or not working as expected; customer acceptance; technological outages or failures; increased regulatory scrutiny; and the failure to meet customer expectations. As a result of these risks related to new products and technologies, we could experience increased claims, reputational damage, or other adverse effects, which could be material. In addition, our investment in new products, technologies, and businesses and making changes or updates to our platform may either be insufficient or result in expenses that exceed the revenue actually generated from these new products, technologies, or businesses.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If our credit platform or other credit programs are inaccurate, do not perform as intended, or lack sufficient capacity to meet demand, our business may be adversely affected.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We acquired Power Finance in the first quarter of 2023 and released our credit card issuing capabilities publicly in October 2023. Net revenue growth attributed to credit card issuing is dependent on increasing the number of existing customers or new customers who use our credit card issuing capabilities. We have limited experience administering our credit card issuing platform, and failure to scale due to our limited experience or a competitive market could adversely affect our business and financial results.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success of our credit issuing capabilities and other credit programs also depends on our ability to effectively manage related risks for us and our Issuing Banks. While the Issuing Banks or other third parties we work with bear the credit risk, in some cases they rely on our credit decisioning engine and managed services to underwrite and/or to otherwise support the management of credit card programs in accordance with their credit policies. Our current and future efforts and the efforts of our Issuing Banks and other partners to expand the capacity of our Issuing Banks and mitigate risk to our credit issuing capabilities and other credit programs may not be successful. Numerous factors, many of which are outside of our control, can adversely affect the evaluation of credit risk. The information we use in processing credit transactions may be inaccurate or incomplete as a result of error or fraud, both of which may be difficult to detect and avoid. If a fraudulent applicant is approved based on our risk model, we may be liable for the losses incurred by the Issuing Bank, which could adversely affect our business and results of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There may be risks that exist, or that develop in the future, including market risks, interest rate risks, economic risks, and other external events, that we have not appropriately anticipated, identified, or mitigated that would impact our Issuing Banks or our ability to support credit products. If our credit risk tools do not effectively and accurately model the credit risk of potential cards issued by our Issuing Banks, greater than expected losses may result on such card programs and, as a result, our customers may stop marketing their card programs, potential customers may be less likely to initiate card programs, and Issuing Banks may stop using our platform for credit card issuing. Further, if our platform does not operate as intended or is inaccurate, it may be alleged that we and/or our Issuing Banks have failed to comply with applicable laws and regulations, we and/or our Issuing Banks may be subject to litigation or regulatory investigations or other proceedings, we and/or our Issuing Banks may have to pay fines and penalties or become subject to civil or criminal liability or have additional obligations or restrictions imposed upon our respective businesses, and our customer relationships and reputation may be adversely affected, which could have a material adverse effect on our business, results of operations, and financial condition.</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The Issuing Banks face the risk that our customers’ cardholders will default on their payment obligations, creating the risk of potential charge-offs. While we are not contractually obligated to pay for any credit-related delinquencies or charge-offs, we have in the past and may in the future make payments to our Issuing Banks in association with our relationship with them, regardless of whether we were compelled to under law or contract. Incremental charge-offs may also affect the Issuing Bank’s future credit decisioning which could impact the volume of transactions processed and the number of cards issued. This may adversely affect our business and results of operations.</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If we fail to anticipate, adapt to, or keep pace with new technologies and develop new services and capabilities for our platform, our business and future growth could be harmed.</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compete in an industry that is characterized by rapid technological changes, frequent introductions of new products and services, and evolving industry standards and regulatory requirements. Our ability to attract new customers and increase net revenue will depend in significant part on our ability to adapt to industry standards, anticipate trends, and continue to enhance our platform and introduce new products and capabilities on a timely and secure basis to keep pace with technological developments and customer expectations. We must also keep pace with changing legal and regulatory regimes that affect our platform, products, services, and business.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It is also important for us to implement tools to support the operational efficiency of our platform. For example, in the past few years AI solutions have emerged as an opportunity for us, our customers, our vendors, and other third parties to innovate more quickly and efficiently and better serve our customers. Rapid adoption and novel uses of AI may, however, introduce unique and unpredictable security risks to our systems and platform, products, and services.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Our business could be adversely affected if we are not successful in developing modifications, enhancements, and improvements, in bringing them to market quickly or cost-effectively, or at modifying our platform to remain compliant with applicable legal and regulatory requirements. Our business could also be harmed if we experience unintended consequences with the enhancements we provide or use.</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Issues relating to our use of AI technologies, including generative and agentic AI, combined with an uncertain legal and regulatory environment, could materially and adversely affect our business, financial condition, and results of operations.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We have incorporated and may continue to incorporate AI solutions and features into our platform or other offerings, and otherwise within our business, and these solutions and features may become more important to our operations or to our future growth over time. There can be no assurance that we will realize the desired or anticipated benefits from AI and we may fail to properly develop, implement or market our AI solutions and features or to do so in a cost-effective manner. Additionally, we may fail to offer the AI solutions and features that our customers and potential customers expect or adopt. Our competitors or other third parties may incorporate AI into their products, offerings, and solutions more quickly or more successfully than we do, which could impair our ability to compete effectively,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Additionally, our AI solutions and features may expose us to additional claims, demands, and proceedings by private parties and regulatory authorities and subject us to legal liability as well as brand and reputational harm. For example, if AI models used in our products or other offerings, whether developed internally or otherwise, are incorrectly designed, the data we use to train them is incomplete or inadequate, the outputs (including any analysis or recommendations) are or are deemed to be inaccurate or discriminatory, or we do not have sufficient rights to use the data on which our models rely, the performance of our AI solutions and features, as well as our reputation, could suffer, may expose us to additional claims, demands, and proceedings by private parties and regulatory authorities, or we could incur liability through the violation of contractual or regulatory obligations. The AI solutions we build or use may be based on or otherwise leverage offerings of third party providers who can suffer impacts to confidentiality, integrity, and availability on their end.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legal, regulatory, and policy environments around AI are evolving rapidly. For example, the European Union approved the EU Artificial Intelligence Act (the “EU AI Act”), and the EU AI Act went into effect on August 2, 2024. The EU AI Act establishes a comprehensive, risk-based governance framework for artificial intelligence in the EU market, and will impose obligations, which may be onerous or burdensome, on providers and users of AI technologies. Additionally, several U.S. states have proposed, and in certain cases have enacted, legislation imposing obligations in connection with the development or use of, or otherwise regulating, AI technologies. U.S. and state-specific regulatory bodies have also issued advisories on the use of AI technologies and will likely step up their oversight and enforcement of these technologies. Other countries also are contemplating laws regulating AI and machine learning technologies. We may become subject to new legal and other obligations in connection with our use of AI, which could require us to make significant changes to our policies and practices, necessitating expenditure of significant time, expense, and other resources.</w:t>
      </w:r>
    </w:p>
    <w:p>
      <w:pPr>
        <w:spacing w:after="0" w:line="7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We may continue to expand operations internationally where we have limited operating experience and may be subject to increased business, economic, and regulatory risks that could adversely impact our operations and financial results.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We have offices in the United States, Poland, Malta, Gibraltar, and the United Kingdom (“U.K.”), and legal entities in various other global jurisdictions, and we may pursue further international expansion of our business in new international markets where we have limited or no experience in marketing, selling, employing personnel, and deploying our platform, products, and services. Managing international operations requires us to comply with new regulatory frameworks, additional regulatory hurdles, and implement additional resources and controls. Our business model may not be successful or have the same traction outside the United States. International expansion subjects our business to additional risks, including:</w:t>
      </w:r>
    </w:p>
    <w:p>
      <w:pPr>
        <w:spacing w:after="0" w:line="74" w:lineRule="exact"/>
        <w:rPr>
          <w:sz w:val="20"/>
          <w:szCs w:val="20"/>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anticipate competitive conditions and competition with market players that have greater experience in the local markets than we do or that have pre-existing relationships with potential customers and investors in those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conforming our platform with applicable business customs and languages;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 including compliance with data residency requirements or commitments;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from local Card Networks, BIN sponsors, vendors, and other local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changes to our established business and pricing models;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support and integrate with local BIN sponsors and other service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travel, infrastructure, and legal and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gaining acceptance from industry self-regulatory bodies;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government regulations in and related to foreign jurisdictions, including compliance with multiple, potentially conflicting, and changing laws, regulations, and industry standards, and related penalties or fines for non-compliance;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Interchange Fee regulation in foreign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rate risk and global market volatility;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restrictions on repatriation of earnings;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of tax consequences;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social, and/or economic instability or military conflict.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these risks, we may not be successful in managing our existing international operations or expanding our international operations, and our business and financial condition could be adversely affected.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 is exposed to risks associated with the handling of client funds.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subsidiaries (for example, TransactPay) have obligations related to managing restricted cash funded by customers for card and e-money programs, which must be segregated and safeguarded pursuant to applicable regulatory requirements. While these funds are client-deposited and offset by corresponding liabilities and thus does not directly restrict our own cash, rapid growth in customer balances, regulatory changes requiring higher reserves, or operational shortfalls could necessitate additional capital to ensure compliance, cover potential gaps, or enhance safeguarding mechanisms (e.g., insurance or trusts). This could indirectly strain our funding needs if mismatches arise. This function creates a risk of financial loss, operational disruptions, and/or reputational harm arising from, among other things, fraud by employees or third parties, execution of unauthorized transactions, cybersecurity events or security breaches, any failure to maintain proper segregation, errors relating to transaction processing, or any failure to comply with safeguarding rules.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incur losses relating to the settlement of payment transactions on our platform.</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We contract with Issuing Banks to settle funds on behalf of our customers on a daily basis for a variety of transaction types. We are and will continue to be subject to the risk of losses relating to the day-to-day settlement of payment transactions, including with respect to pre-funding, ACH processing errors or delays, and chargeback requests as well as human or processing error. If transactions or settlement reconciliations are not performed timely or accurately due to human or other processing error, we could incur losses.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While customers deposit a certain amount of pre-funding into bank accounts at our Issuing Banks, depending on the model of the card program and the timing of funding and transactions, some transactions may be authorized in an amount that exceeds the pre-funding in the customer’s account.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Customers are ultimately responsible for fulfilling their obligations to fund transactions. However, when a customer does not have sufficient funds to settle a transaction, we may be liable to the Issuing Bank to settle the transaction, including fraudulent or disputed transactions, and may incur losses as a result of claims from the Issuing Bank. We would seek to recover such losses from the customer, but we may not fully recover them if the customer is unwilling or unable to pay.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Additionally, if the Issuing Banks we work with do not receive and submit ACH return files from us on time to the Federal Reserve Bank, the originating depository financial institution that sent the original ACH payment is not required to return the funds to the customer account at the Issuing Bank. We have in the past, and may in the future, be responsible for delays or errors in processing ACH return files, in which case we bear responsibility for the funds that should have been returned to the customer account and may suffer financial losses.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addition, when a chargeback request is approved, the purchase price of the transaction is refunded to the customer’s end user’s account through our platform. If we do not properly process the chargeback, the customer may request that we fund the refunded amount to their end user. We have in the past, and may in the future, incur costs relating to transactions exceeding customer pre-funding and the improper processing of ACH files and chargeback requests. The costs we incur related to our settlement obligations may adversely affect our business and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incur losses relating to illegal and fraudulent activity on our platform.</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Our resources, technologies, and fraud prevention tools may be insufficient to accurately detect and prevent fraud on our platform. We have programs to vet and monitor our potential customers and the transactions we process for them, but such programs may not be effective in detecting and preventing fraud or illegitimate transactions. Illegitimate transactions or illegal activities such as money laundering or terrorist funding can expose us to governmental and regulatory enforcement actions and potentially prevent us from satisfying our contractual obligations to our Issuing Banks and other counterparties, which may cause us to be in breach of our obligations.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techniques used to perpetrate fraud are continually evolving, and we expend considerable resources to continue to monitor and combat them. Criminals may commit fraud using techniques such as stolen identities and bank accounts, compromised business email accounts, employee or insider fraud, account takeover, false applications, check fraud, “skimming,” counterfeit payment cards, and stolen cards or card account numbers. Fraud or theft involving cards issued through our platform or as a result of actions by our employees or contractors could result in financial losses, civil or criminal liability, reputational damage, harm to our business, or increasing costs related to remediation or more rigorous compliance obligations. Fraudulent activity could also result in the imposition of regulatory sanctions, including significant monetary fines, or other operating losses, all of which could have a material adverse effect on our business, results of operations, and financial condition.</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Failure to attract and retain key personnel, including senior management and other highly skilled employees, could adversely affect our business.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depends on our ability to identify, hire, develop, motivate, and retain highly qualified personnel for all areas of our organization. Competition for highly skilled employees is intense as these employees are in high demand and may be in short supply. We have from time to time experienced, are currently experiencing, and we expect to continue to experience difficulty in hiring and retaining employees with appropriate qualifications, at a speed that is consistent with our business needs, and at an appropriate cost. Our labor expenses may increase as a result of a shortage in the supply of qualified personnel.</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number of our employees are foreign nationals who rely on work authorization provided to them by the U.S. federal government. In recent years, the United States has increased the level of scrutiny in work authorization immigration status. We may experience additional complications hiring and retaining qualified personnel who rely on such immigration status to lawfully work with our Company, as compliance with new or changing U.S. immigration and labor laws could restrain our ability to retain and attract qualified personnel.</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anticipate potential impacts to foreign national employees’ ability to travel for either business or personal reasons due to longer vetting times at the U.S. border for all individuals entering the United States. We also anticipate potential impacts to foreign national employees’ ability to obtain new or renewed visas abroad, which are required in most circumstances to re-enter the United States. These processes could cause delays in employees’ ability to return to work in the event of travel.</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Job candidates and existing employees often consider the value of the equity awards they receive in connection with their employment. If the value of our equity awards continues to decline or does not improve, it may impair our ability to recruit and retain highly skilled employees. If we are not able to add and retain employees effectively, our ability to achieve our strategic objectives will be adversely affected, and our business and growth prospects will be adversely affected.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majority of our employees operate in a remote capacity, and we expect to continue to be subject to challenges and risks associated with having a remote workforce. For example, operating our business with both remote and in-person workers across different geographies and time zones could have a negative impact on our corporate culture, decrease the ability of our workforce to collaborate and communicate effectively, decrease innovation and productivity, or negatively affect workforce morale.</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our executive management team may also disrupt our business. Any employment agreements we have with our executive officers or other key personnel do not require them to continue to work for us for any specified period and, therefore, they could terminate their employment with us at any time. We have recently experienced, and may continue to experience, high attrition and turnover rates across the Company, including executive officers and other key personnel. For example, we recently appointed a new Chief Financial Officer, effective February 9, 2026. At that time, Mr. Milotich, the Company’s Chief Executive Officer and Chief Financial Officer, ceased serving in the Chief Financial Officer role and no longer serves as the Company’s principal financial officer. Mr. Milotich continues to serve as the Chief Executive Officer and as a member of the board of directors. Additionally, we have in the past and may continue in the future to periodically reorganize the Company’s departments in an effort to increase efficiencies or better serve our customers. The loss of executive officers and key personnel may lead to a decrease in institutional knowledge which may adversely affect our business. Additionally, we do not maintain any key person insurance policies.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require additional capital to support our business, and this capital might not be available on acceptable terms, if at all.</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 xml:space="preserve">We intend to continue to make investments to support our business and may require additional funds. Despite having </w:t>
      </w:r>
      <w:r>
        <w:rPr>
          <w:rFonts w:ascii="Arial" w:cs="Arial" w:eastAsia="Arial" w:hAnsi="Arial"/>
          <w:sz w:val="18"/>
          <w:szCs w:val="18"/>
          <w:color w:val="000000"/>
        </w:rPr>
        <w:t>$771.9 million</w:t>
      </w:r>
      <w:r>
        <w:rPr>
          <w:rFonts w:ascii="Arial" w:cs="Arial" w:eastAsia="Arial" w:hAnsi="Arial"/>
          <w:sz w:val="18"/>
          <w:szCs w:val="18"/>
          <w:color w:val="231F20"/>
        </w:rPr>
        <w:t xml:space="preserve"> in cash and highly liquid short-term investments on our balance sheet, as of December 31, 2025. We may seek additional funds to develop new products and enhance our platform and existing products, expand our operations, improve our infrastructure, or acquire complementary businesses, technologies, services, products, and other assets. In addition, we are using a portion of our cash to satisfy tax withholding and remittance obligations related to the vesting of Restricted Stock Units (“RSUs”) and P</w:t>
      </w:r>
      <w:r>
        <w:rPr>
          <w:rFonts w:ascii="Arial" w:cs="Arial" w:eastAsia="Arial" w:hAnsi="Arial"/>
          <w:sz w:val="18"/>
          <w:szCs w:val="18"/>
          <w:color w:val="000000"/>
        </w:rPr>
        <w:t>erformance-based Restricted Stock Units (“PSUs”)</w:t>
      </w:r>
      <w:r>
        <w:rPr>
          <w:rFonts w:ascii="Arial" w:cs="Arial" w:eastAsia="Arial" w:hAnsi="Arial"/>
          <w:sz w:val="18"/>
          <w:szCs w:val="18"/>
          <w:color w:val="231F20"/>
        </w:rPr>
        <w:t xml:space="preserve"> as well as to effect share repurchases. See the section titled “Risk Factors—Risks Relating to Ownership of Our Class A Common Stock—We cannot guarantee that our share repurchase program will enhance long-term stockholder value. Share repurchases could also affect the trading price of our stock and may reduce working capital” for additional information regarding our share repurchase programs. Accordingly, we may need to engage in equity or debt financings to secure additional funds.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Disruptions in the credit markets or other factors, such as inflation or rising interest rates, could adversely affect the availability, diversity, cost, and terms of funding arrangements.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 ultimate outcome of these events cannot be predicted, but these events could have a material adverse effect on our business. The FDIC only insures up to $250,000 per depositor per insured bank, and we currently have cash deposited in certain financial institutions in excess of FDIC insured levels. If any of the banking institutions in which we have deposited funds ultimately fails, we may lose our deposits over $250,000. Further, certain banks may be under regulatory orders and may not be able to support us due to regulatory challenges. The loss of our deposits at such banks may have a material adverse effect on our business, financial condition, and liquidity.</w:t>
      </w:r>
    </w:p>
    <w:p>
      <w:pPr>
        <w:spacing w:after="0" w:line="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231F20"/>
        </w:rPr>
        <w:t>We have in the past and may in the future make investments in investment-grade securities. If such investments are not diversified or are concentrated at an “at-risk” institution, we may experience losses and may not be able to liquidate such investments.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231F20"/>
        </w:rPr>
        <w:t>Strategic transactions, including acquisitions, investments, partnerships, and collaborations, could fail to achieve strategic objectives, divert the attention of management, disrupt our ongoing operations, dilute stockholder value, and may adversely affect our business and financial results. We may be unable to successfully integrate any acquired businesses and technology.</w:t>
      </w:r>
    </w:p>
    <w:p>
      <w:pPr>
        <w:spacing w:after="0" w:line="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We have in the past and may in the future acquire or invest in businesses, products, or technologies that we believe could complement our platform, products, and services, expand our geographic reach or customer base, or otherwise offer growth opportunities. For example, we acquired Power Finance Inc. in February 2023 and TransactPay in July 2025. The identification, pursuit, evaluation, and negotiation of potential strategic transactions may divert the attention of management and entail various expenses, whether or not such transactions are ultimately consummated. Any acquisition, investment, or business relationship may result in unforeseen operating difficulties and expenditures or require us to make adjustments to our or the acquired company's business models. There can be no assurance that we will</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be successful in identifying, negotiating, and consummating favorable transaction opportunities or successfully integrating the acquired personnel, operations, and technologies, or effectively scaling and managing the combined business following the acquisition.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Specifically, we may not successfully evaluate or utilize the acquired technology or personnel from an acquired business and we may be unable to retain key personnel after a transaction, including personnel who are critical to the success of the ongoing business. We may not accurately forecast the financial impact of an acquisition transaction. Moreover, the anticipated benefits, growth, or synergies of any acquisition, investment, or business relationship may not be realized or we may be exposed to unknown risks or liabilities. If we invest in companies that do not succeed, our investments may lose all or some of their value, which could result in us recording impairment charges reflected in our results of operations.</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Litigation, disputes, regulatory actions, and government or legal investigations could be costly and time-consuming to defend, and our business may be adversely affected by our involvement or the outcome of such litigation, disputes, actions, or investigations.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have been, are currently, and in the future may be, involved in litigation or disputes. We have also received, and may in the future receive, inquiries, warrants, subpoenas, and other requests for information in connection with government investigations. Such claims, disputes, lawsuits, proceedings, and investigations could involve matters relating to employment, wage and hour, commercial, antitrust, securities, the duties of officers or directors, regulatory compliance, and other matters. The number and significance of litigation, regulatory, and government or legal investigation matters and disputes has increased and may continue to increase as our business expands. We also had in the past, have currently, and may have in the future indemnification obligations as a result of our contracts with customers and other counterparties that may require us to reimburse or pay for damages, fees, or other expenses associated with claims, lawsuits, proceedings, and investigations such customers and other counterparties face.</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our liability insurance may not cover all potential claims made against us or third parties or be sufficient to cover us for all liability that may be imposed. A claim brought against us or third parties that is uninsured or under-insured could result in unanticipated costs. The costs associated with litigation, disputes, regulatory actions, and government or legal investigations can also be unpredictable depending on the complexity of the matter, the resources needed to manage it, and length of time devoted to it. These matters may also divert management’s attention and operational resources, could harm our reputation regardless of the outcome, and might seriously harm our business, overall financial condition, and operating results. We cannot assure you that any actual or potential litigation, claims, disputes, investigations, or proceedings will not have a material adverse effect on our business, results of operations, and financial condition.</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rely on third parties to provide certain products and services, and their failure to perform those services or comply with legal or regulatory requirements could adversely affect our business and financial results.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depend on services from various third-party vendors to provide our products and services. Any disruptions in these services, including as a result of actions outside of our control, could significantly impact the continued performance of our platform.</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vendor due diligence and manage such vendors using a risk-based approach intended to determine if relevant vendors have the ability, consistent with all applicable laws, to implement and maintain reasonable security measures in connection with their work with us, and to promptly report to us any breach of their security measures that may affect our business. If we are unable to timely and accurately identify at-risk vendors or if a service provider fails to properly safeguard our data or intellectual property, fails to meet contractual requirements (including compliance with applicable laws and regulations), suffers a cyberattack, security breach or incident, or other system outage or interruption, or terminates its contract with us, we could be subject to claims from customers or other third parties or regulatory enforcement actions, and such incidents may also put information we process at risk which could in turn adversely affect our business, reputation, financial condition, or results of operations.</w:t>
      </w:r>
    </w:p>
    <w:p>
      <w:pPr>
        <w:spacing w:after="0" w:line="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some cases, vendors are the sole source, or one of a limited number of sources, of the services they provide to us. In the future, these services may not be available to us on commercially reasonable terms, or at all. Any loss of any of these services could adversely affect our business and we may incur additional costs to resolve the issue.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and risk of loss.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agreements with Issuing Banks, Card Networks, customers, vendors, lessors, and other third parties include indemnification provisions under which we agree to indemnify them for losses or expenses suffered or incurred in certain circumstances, including, for example, in relation to claims arising out of the breach of such agreements, services to be provided by us, or from intellectual property infringement claims made by third parties. Some of these agreements provide for uncapped liability for indemnification claims and some indemnity provisions survive termination or expiration of the applicable agreement. We have in the past been, and could continue to be, exposed to liability or indemnification claims from our customers, Card Networks, or Issuing Banks in connection with the services we provide. Large payments to customers, Card Networks, or Issuing Banks could harm our business, results of operations, and financial condition. Any dispute with a customer, Card Network, or Issuing Bank with respect to these obligations could have adverse effects on our relationship with that counterparty and other existing or prospective customers, Card Networks, or Issuing Banks, and harm our business and results of operations. Further, although we carry insurance, our liability insurance may not cover all potential claims made against us or be sufficient to cover us for all liability that may be imposed, and any such coverage may not continue to be available to us on acceptable terms or at all.</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If our estimates or judgments relating to our accounting policies prove to be incorrect, our results of operations could be adversely affected.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preparation of financial statements in conformity with generally accepted accounting principles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Significant assumptions and estimates used in preparing our Consolidated Financial Statements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reserve for contract contingencies and processing errors, the estimation of network incentives, and valuation of income taxes.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In addition, we have been and may continue to be involved in various lawsuits, claims, and proceedings that arise in the ordinary course of business. We record a liability for these when we believe it is probable that we have incurred a loss, and that we can reasonably estimate the loss. We regularly evaluate current information to determine whether we should adjust a recorded liability or record a new one. If a loss is reasonably possible and the loss or range of loss can be reasonably estimated and is expected to be material to the financial statements, we disclose the possible loss in the accompanying notes to the Consolidated Financial Statements. Judgment is required to determine both the probability and the estimated amount.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If we make incorrect assumptions or estimates, our reported financial results may be over- or understated, which could materially and adversely affect our business, financial condition and results of operations. Our results of operations may also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Regulation</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231F20"/>
        </w:rPr>
        <w:t>Our business is subject to regulation and oversight in a variety of areas, directly and indirectly through our relationships with customers, Issuing Banks, and Card Networks, which regulations are subject to change and to uncertain interpretation. Compliance with such laws and regulations could result in additional costs and any failure to comply could materially harm our business and financial condition.</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We, our customers, our vendors, and other third parties we do business with are subject to a wide variety of laws, regulations, and industry standards, including supervision and examination with respect to the foregoing by multiple authorities and governing bodies and in multiple countries, which govern numerous areas important to our business.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Issuing Banks and Card Networks operate in a highly regulated environment, and there is a risk that those regulations could become directly applicable to or directly impact us. We have structured our business in a manner reasonably designed to comply with applicable laws and regulations, including, but not limited to, applicable laws relating to money laundering, sanctions, consumer protection, and money transmission services; however, it is possible that a relevant regulator may disagree, which could expose us to penalties and/or censure. If a relevant regulator disagreed with our analysis of, and compliance with, applicable laws, we may be required to seek licenses, authorizations, or approvals from those regulators, which may be dependent on us meeting certain capital and other requirements, and may subject us to additional regulation and oversight, all of which could significantly increase our operating costs.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As a program manager, we are responsible for aligning compliance with Issuing Bank requirements and Card Network rules, and we help create card programs for our customers designed to comply with applicable legal and regulatory requirements. In some cases, we have in the past and could continue to be exposed to liability or indemnification claims from our customers or other third parties in connection with the services we provide.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We are directly, and indirectly through our contractual relationships with customers, Issuing Banks, and Card Networks, subject to regulation in areas which may include, but are not limited to, privacy, data protection and information security, global sanctions regimes and export controls, and anti-bribery, and those relating to payments services (such as payment processing and settlement services), AI, consumer protection, AML, and escheatment, as well as compliance with industry standards, such as PCI DSS.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As our business and platform continue to develop and expand, we continue to become subject to additional laws, rules, regulations, and industry standards, including possible additional examination and supervision, in the United States and internationally. For example, in Canada, the Retail Payment Activities Act (the “RPAA”) subjects payment service providers (“PSPs”) to supervision by the Bank of Canada and requires PSPs to establish, implement, and maintain a risk management and incident response framework that complies with the RPAA. A Marqeta subsidiary, Marqeta Payments LLC, is registered as a PSP and is subject to these regulatory requirements and supervision. Additionally, TransactPay operates under an EMI license in the UK, Gibraltar, and the EEA. As a result, TransactPay is subject to stringent requirements related to capital adequacy, anti-fraud measures, data security, and transaction monitoring, as well as oversight by relevant European financial authorities. New or expanded regulation or changes in interpretation or enforcement of existing regulations may have an adverse effect on our business, results of operations, and financial condition due to increased compliance costs and new restrictions affecting the offering of our platform, products and services.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We may not be able to respond quickly or effectively to, or accurately predict the scope or applicability of, regulatory, legislative, or other developments, which may in turn impair our ability to offer our existing or planned features, products, and services and/or increase our cost of doing business. For example, regulatory scrutiny over banks that sponsor financial technology programs increased in fiscal 2024, and the heightened regulatory environment contributed to the Issuing Banks we work with focusing more on maintaining existing programs than launching new programs with us. As a result, we launched fewer programs than projected in fiscal 2024, adversely affecting our results of operations and business.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In addition, we may become subject to audits, inquiries, whistleblower complaints, adverse media coverage, investigations, or criminal or civil complaints or sanctions, all of which may have an adverse effect on our reputation, business, results of operations, and financial condition.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As a result of our business relationships, we may also be subject to direct or indirect supervision and examination by various authorities. The CFPB, for example, has indicated it may use dormant authority to examine certain companies whose services may pose risk to consumers, which may include our company. The Board of Governors of the Federal Reserve System, the FDIC, and the Office of the Comptroller of the Currency (the “Federal Banking Agencies”) have also issued a growing number of enforcement actions in connection with partnerships between banks and financial technology companies in recent years. The Federal Banking Agencies have also published interagency guidance for banks to develop and implement risk management practices for these arrangements, which clarifies supervisory expectations for banks to oversee the third parties with whom they partner. With respect to payment activities, including card issuing, the Federal Banking Agencies have indicated that they may further clarify their supervisory expectations. Accordingly, as a program manager for Issuing Banks, we are subject to the Issuing Banks’ risk management standards for third-party relationships in accordance with supervisory guidance and examination by the Federal Banking Agencies. Should we or the Issuing Banks with whom we work be unable to satisfy these standards, we may have to discontinue certain programs or relationships or be unable to onboard new customers or products to the Issuing Banks, and, it is also possible that regulators could hold us or our customers responsible for actual or perceived deficiencies in connection with our arrangements with Issuing Banks, and our business, financial condition, and results of operations may be adversely affected.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New or changing laws or regulations could require us to incur significant expenses and devote significant management attention to ensure compliance and could also prompt our Issuing Banks to alter their dealings with us in ways that may have adverse consequences for our business. In addition, increased supervisory scrutiny has in the past contributed to, and may in the future contribute to, the Issuing Banks with whom we currently have relationships reassessing the details of their arrangement with us and may deter new Issuing Banks from establishing a relationship with us or have other adverse impacts upon our business.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Further, while we only process transactions on our platform in fiat currencies, certain cryptocurrency businesses use our platform to provide card products to their customers and end users. The regulation of cryptocurrency is rapidly evolving and varies significantly among jurisdictions and is subject to substantial uncertainty. Various legislative and executive bodies in the United States and other countries may adopt laws, regulations, or guidance, or take other actions, which may impact our Issuing Banks and restrain the growth of cryptocurrency businesses and in turn impact the net revenue associated with our cryptocurrency business customers.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While we have developed policies and procedures designed to assist in compliance with laws and regulations, no assurance can be given that our compliance policies and procedures will be effective. If we fail to comply or are alleged or perceived to have failed to comply with applicable laws and regulations, we may be subject to litigation or regulatory investigations or other proceedings, we may have to pay fines and penalties or become subject to civil or criminal liability or have additional obligations or restrictions imposed upon our business, and our customer relationships and reputation may be adversely affected, which could have a material adverse effect on our business, results of operations, and financial condition.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79"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231F20"/>
        </w:rPr>
        <w:t>Laws, regulations, and industry standards related to privacy and data governance, and our actual or perceived failure to comply with such obligations, could adversely affect our business and financial results.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operate and expand our business, we process and manage a significant amount of personal data that increasingly subjects us to global laws and regulations governing the collection, use, disclosure, and other processing of that information and security measures with regard to that information. Governmental bodies and industry organizations in the United States and abroad have adopted, or are considering adopting, laws and regulations governing the use of, and requiring safeguarding of, personal data. We also are and may become subject to contractual obligations relating to privacy, data protection, and information security.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we are subject to the California Consumer Privacy Act (as amended, including by the California Privacy Rights Act, the “CCPA”), which imposes significant restrictions on the collection, processing, and disclosure of personal data, including imposing increased penalties related to data privacy incidents. Other U.S. states have also passed or are considering privacy legislation, including omnibus privacy legislation similar to the CCPA, and industry organizations regularly adopt and advocate for new standards in these areas. We are also subject to U.S. federal legislation such as the Gramm-Leach-Bliley Act and regulatory oversight in this area. Further, the U.S. Department of Justice has issued regulations restricting certain bulk transfers of sensitive personal data.</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we continue to operate and expand internationally, we are also subject to, and will continue to be subject to, international privacy laws including but not limited to the EU’s General Data Protection Regulation (“GDPR”), the U.K. GDPR, and local privacy and data protection legislation in EU member states, as well as laws within Canada, including the Personal Information Protection and Electronic Documents Act and local provincial legislation.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other global laws, rules, and regulations related to data governance may impact our current and future operations. This includes, for example, regulations relating to cybersecurity, such as the EU’s Digital Operational Resilience Act and Cyber Resilience Act, other EU regimes such as the EU’s Data Act, regulations relating to the EMI license held by TransactPay, U.S. federal and state-specific data broker legislation, and laws, regulations, and advisory opinions pertaining to the development and use of AI.</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Current or future laws, regulations, contractual obligations, and industry standards or other frameworks relating to privacy and data governance may impose, or be asserted to impose, requirements that are inconsistent with our practices or the operation of our products and services. As a result, these requirements may require us to modify our policies and practices and may otherwise adversely affect our business.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continue to monitor and assess the evolving regulatory landscape in the context of our business and our products and services, this area is rapidly evolving and may be subject to uncertainty as well as varying interpretations of relevant requirements. Although we have incurred and expect to continue to incur substantial expense in complying with certain new and evolving privacy and data governance laws and frameworks, we may not be successful in our efforts to achieve and maintain compliance. Additionally, our interpretation and applications of relevant requirements may be inconsistent with the interpretation and application of these requirements by relevant authorities and regulatory bodies. If we fail or are alleged to have failed to comply with any of these laws, regulations, frameworks, or other actual or asserted obligations, we may be subject to regulatory investigations, enforcement actions, and other proceedings, civil litigation, claims, and demands, and fines and other penalties, all of which may result in additional cost and liability to us, damage our reputation, and adversely affect our business.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required to make additional or significant changes to our policies and business operations, such as modifying products and services or our data processing practices or policies, or otherwise restricting our operations, which we may be unable to complete in a commercially reasonable manner or at all, and our potential liability in connection with our actual or alleged non-compliance with laws, regulations, contractual obligations, and frameworks may increase, all of which could have a material adverse effect on our business, results of operations, and financial condition.</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make representations regarding our practices and controls related to privacy, our processing of personal data, and related matters, such as our security measures including but not limited to within our public-facing privacy notices. We may at times fail, or be alleged to have failed, to comply with these representations. Any actual or alleged failure to comply with these representations, or any such representations being, or alleged to be, deceptive or misrepresentative, may result in regulatory investigations, enforcement actions, and other proceedings, civil litigation, claims, and demands, and fines and other penalties and liabilities, all of which may result in additional cost and liability to us, damage our reputation, and adversely affect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A portion of our net revenue is derived from Interchange Fees and changes in Interchange Fees or Interchange Fee regulations, or in interpretation of existing regulations, could adversely affect our business, results of operations, and financial condition.</w:t>
      </w:r>
    </w:p>
    <w:p>
      <w:pPr>
        <w:spacing w:after="0" w:line="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portion of our net revenue is derived from Interchange Fees and the amount of Interchange Fees we earn is highly dependent on the interchange rates that the Card Networks set and adjust. Interchange Fees and assessments are subject to change from time to time by the Card Networks and due to government regulation. Most recently, effective October 2025, Visa implemented a new interchange program, Commercial Enhanced Data Program (CEDP) which reduces some interchange rates as a merchant incentive to provide robust transaction details (Level 3 data) on Commercial and Business Card programs which results in lower interchange revenue to Marqeta and our Commercial and Business Card customers. The CEDP program will also sunset Level 2 interchange programs effective April 2026, and will cause transactions to either clear at a higher or the new lower CEDP interchange rate.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Interchange Fees have historically been, and continue to be, the subject of intense legal and regulatory scrutiny and competitive pressures in the payments industry in the United States and internationally. For example, in the UK, the Interchange Fee Regulations may restrict or place caps on the interchange fees which can be charged on a transaction, and in the United States, the Durbin Amendment may restrict or otherwise impact the way we do business or limit our ability to charge certain fees to customers. Issuing Banks that are exempt from the Interchange Fee restrictions in the Durbin Amendment are able to access higher interchange rates on debit and prepaid card transactions, if those transactions meet certain requirements. As a result, to maximize our Interchange Fees in the United States, we generally only contract with Issuing Banks that currently qualify for this exemption from the Durbin Amendment when we provide services for debit and prepaid card programs.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these Issuing Banks currently qualify for this exemption from the limitations on debit and prepaid card Interchange Fees, and we expect them to continue to qualify for the exemption, we can offer no assurance or guarantee that they will remain exempt, and various events outside our control may cause these Issuing Banks, or some of the debit and prepaid card transactions processed on cards they issue, to become subject to the interchange fee limits under the Durbin Amendment. In addition, new laws or regulations related to interchange fees may be enacted. For example, Illinois passed the Interchange Fee Prohibition Act (“IFPA”), which prohibits the collection of debit and credit card interchange fees in Illinois for the portion of a card transaction that is attributable to sales taxes, excise taxes and gratuities if the merchant informs the acquiring bank of the amount of these taxes and gratuities. The IFPA is expected to be effective on July 1, 2026, pending ongoing litigation. While any potential reduction in our revenue from the new law in Illinois is not expected to be material, if any additional legislation regulating Interchange Fees is enacted in other jurisdictions, or if there are changes in existing regulations or to the interpretation of existing regulations, then the portion of our net revenue derived from Interchange Fees may be adversely affected. Further, complying with a patchwork of state laws governing Interchange Fees may create compliance burdens for our Issuing Banks and us, which may adversely affect our business, financial condition, and results of operations.</w:t>
      </w:r>
    </w:p>
    <w:p>
      <w:pPr>
        <w:spacing w:after="0" w:line="8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Changes to the rules or practices set by Card Networks or our failure to comply with their rules and practices could adversely affect our business.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required to comply with the rules set by the Card Networks. The termination of the card association registrations held by us or any of our Issuing Banks or any changes to these Card Network rules or their interpretation could have a significant impact on our business and financial condition. If we fail to make required changes or otherwise resolve an issue with the Card Networks, the Card Networks could charge us additional fees. We have been charged such additional fees in the past, and expect to continue to be charged such fees in the future as Card Network rules change. These additional fees are considered costs of revenue. If we fail to comply with such Card Network rules, we could also be fined and our registrations or certifications could be suspended or terminated which could limit our ability to process transactions and could have a material adverse effect on our business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anti-money laundering, anti-bribery and corruption (“AB&amp;C”), sanctions, and similar laws, and non-compliance with such laws and regulations can subject us to criminal penalties or significant fines, adversely affect our business and reputation, or have other adverse consequences for us.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can be held liable under AML, AB&amp;C, sanctions, and similar laws for the corrupt or illegal activities of our third-party intermediaries and our employees, representatives, contractors, partners, and agents, even if we do not authorize such activities. While we have programs and controls designed to comply with applicable AML, AB&amp;C, and sanctions laws and regulations, we cannot guarantee that our programs and controls will be effective in ensuring compliance and that none of our third-party intermediaries or employees, representatives, contractors, partners, and agents will take actions in violation of those controls and laws. Ours or these third parties’ failure to comply with these laws and regulations could result in a breach and/or termination of our agreements with Issuing Banks and customers and/or fines or penalties by governmental agencies, which would have a material adverse effect on our business, results of operations, and financial condition.</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and could subject us to liability if we fail to comply.</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If we fail to comply with these laws and regulations, or with export control and economic sanctions regulations in other jurisdictions, we and certain of our employees could be subject to substantial civil or criminal penalties, including the possible loss of export privileges, fines imposed on us and responsible employees, and, in extreme cases, the incarceration of responsible employees.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Changes in applicable export or economic sanctions regulations, shifts in the enforcement or scope of existing regulations, or change in the countries, governments, persons, or technologies targeted by such regulations may create delays in the introduction and deployment of our platform and existing or future products and services in international markets, or, in some cases, prevent or decrease the use of our platform and existing or future products or provision of existing or future services in certain countries or with certain end users. Any decreased use of our platform, products, or services or limitation on our ability to provide our platform, products, or services could adversely affect our business, results of operations, and financial condition.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231F20"/>
        </w:rPr>
        <w:t>If we fail to maintain an effective system of disclosure controls and procedures or internal control over financial reporting, our ability to report timely and accurate financial results or comply with applicable regulations could be impaired, and our business, operating results, and the price of our Class A common stock may be adversely affected.</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The Sarbanes-Oxley Act of 2002 requires, among other things, that we maintain effective disclosure controls and procedures and to report any material weakness in our internal controls over financial reporting.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The process of designing and implementing effective internal controls and disclosure controls is a continuous effort. To maintain and improve the effectiveness of our disclosure controls and procedures and internal control over financial reporting, we have expended, and anticipate that we will continue to expend, significant resources, including technology- and accounting-related costs and significant management oversight. We have experienced material weaknesses in the past, and if any of our controls and systems do not perform as expected, we may experience material weaknesses in the future. In addition, testing and maintaining internal controls and disclosure controls may divert management’s attention from other matters that are important to our business.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Any failure to implement and maintain effective internal control over financial reporting could cause us to fail to meet our reporting obligations on a timely basis, result in material misstatements in our consolidated financial statements, have an adverse effect on our business and operating results, and could cause investors to lose confidence in us, all of which could cause a decline in the price of our Class A common stock. We could also become subject to investigations by Nasdaq, the SEC, or other regulatory authorities, which could require additional financial and management resources, and we may not be able to remain listed on Nasdaq.</w:t>
      </w:r>
    </w:p>
    <w:p>
      <w:pPr>
        <w:spacing w:after="0" w:line="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Changes in financial accounting standards or practices may cause adverse, unexpected financial reporting fluctuations and affect our results of operations.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We prepare our consolidated financial statements in conformity with GAAP. These principles are subject to interpretation by the Financial Accounting Standards Board (“FASB”), the SEC, and various bodies formed to interpret and create appropriate accounting principles and guidance. Any new or amended accounting standards or practices may have a significant effect on our results of operations or financial condition and may impact the way we conduct our business.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6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Changes in tax laws or regulations could have a material adverse effect on our business, results of operations, and financial conditions.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We are subject to income taxes in the United States and numerous foreign jurisdictions. Our domestic and international tax liabilities are dependent upon the location of earnings among these different jurisdictions. Any changes in tax legislation, regulations, policies, or practices in the jurisdictions in which we operate could increase our effective tax rate and materially increase the amount of taxes we owe, thereby negatively impacting our results of operations as well as our cash flows from operations. For example, on July 4, 2025, H.R. 1, also known as the “One Big Beautiful Bill Act,” was enacted into law, making a number of changes to U.S. federal income tax law, including permanently suspending the requirement to capitalize and amortize domestic research and development expenditures and permitting such deductions on</w:t>
      </w:r>
    </w:p>
    <w:p>
      <w:pPr>
        <w:spacing w:after="0" w:line="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231F20"/>
        </w:rPr>
        <w:t>a current basis. However, due to our full valuation allowance on our deferred tax assets, these changes did not have a significant impact on our financial position or results of operations.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Additionally, successful assertion by one or more states, or foreign jurisdictions, requiring us to collect sales, value added, or similar indirect taxes where we presently do not do so, or to collect more of such indirect taxes in a jurisdiction in which we currently do collect some indirect taxes, could result in substantial tax liabilities, including taxes on past sales, as well as penalties and interest. Also, any change to applicable tax laws or successful challenge to how or where our profits are currently recognized, could increase our overall taxes, and our business, financial condition, or results of operations may be adversely impacted. For example, the Organization for Economic Co-operation and Development (the "OECD") has proposed a global minimum tax rate of 15% ("Pillar Two"), which has been, and is being adopted by multiple jurisdictions. On January 5, 2026, the OECD announced a “side-by-side” elective safe harbor that exempts U.S.-parented multinational entities (like us) from certain provisions of Pillar Two for fiscal years beginning on or after January 1,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Furthermore, compliance with changing tax laws and regulations could require us to make substantial changes to our business practices, allocate additional resources, and increase our costs, potentially negatively affecting our business, results of operations, and financial condition. As we grow internationally, we may also be subject to taxation and review by taxation authorities in additional jurisdictions with increasingly complex tax laws, the application of which can be uncertain, and which could increase the amount of taxes we pay, potentially adversely affecting our liquidity and results of operations.</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We may have exposure to greater-than-anticipated tax liabilities, which may materially and adversely affect our business, results of operations, and financial condition.</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determination of our worldwide provision for income taxes, value-added taxes, and other tax liabilities requires estimation and significant judgment, and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 which may have an adverse effect on our business, results of operations, and financial condition.</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Our ability to use our net operating losses and other tax attributes to offset future taxable income may be subject to certain limitations.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We have incurred substantial net operating losses (“NOLs”) and other tax attributes, including research &amp; development (“R&amp;D”) credits, during our history. In general, under Section 382 of the Internal Revenue Code of 1986, as amended, a corporation that undergoes an “ownership change” (generally defined as a greater than 50-percentage-point cumulative change (by value) in the equity ownership of certain stockholders over a rolling three-year period) is subject to limitations on a company’s ability to utilize its NOLs and other tax attributes to offset taxable income. We have experienced ownership changes since inception and believe that our existing NOLs and other tax attributes, including R&amp;D credit carryforward, will be subject to such limitations.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addition, the amount of NOLs and other tax attributes that we are permitted to deduct may be subject to limitations and our NOLs and other tax attributes may expire before they are fully utilized. Our NOLs and other tax attributes may also be subject to limitations under state law. For example, recently enacted California legislation limits the use of state NOLs for tax years beginning on or after January 1, 2024, and before January 1, 2027. As a result of this or other legislative or regulatory changes, or other unforeseen reasons, our existing NOLs and other tax attributes could expire or otherwise be unavailable to offset future income tax liabilities.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we fail to adequately protect our intellectual property rights, our business could be adversely affected and we could incur additional expenses to protect our rights.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rely on a combination of patents, copyrights, trademarks, service marks, trade secret laws, and contractual restrictions to establish and protect our intellectual property and proprietary rights, which are critical to our success. The steps we take to protect our intellectual property, however, may be inadequate, and various events outside of our control may pose a threat to our intellectual property rights.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cannot assure you that any patents or trademarks will be issued with respect to our currently pending patent and trademark applications. Our patents and trademarks may be contested, circumvented, or found unenforceable or invalid, and we may not be able to prevent third parties from infringing, diluting, or otherwise violating them. There can be no guarantee that others will not independently develop similar products, duplicate any of our products, or design around our patents. As the development, adoption, and use of generative AI technologies grows, our intellectual property may inadvertently be exposed through the use of such technologies. Further, the laws of some foreign countries may not protect our intellectual property rights to the same extent as the laws of the United States, and effective intellectual property protection and mechanisms may not be available in those jurisdictions.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rely in part on trade secrets, proprietary technology, and other confidential information to maintain our competitive position. Although we enter into confidentiality agreements with our employees, service providers, and other actual or potential strategic business partners, these agreements may not be effective in controlling access to and distribution of our platform, or certain other aspects of our trade secrets, proprietary technology, and other confidential information.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these rights, in the U.S. and internationally,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products.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platform incorporates open source software, and we expect to continue to incorporate open source software in our products and platform in the future. There have been claims challenging the use of open source software against companies that incorporate it into their products. If it is alleged that we have not complied with an open source license, we could incur significant legal expenses defending against such allegation.</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fail to comply with an open source license, we may be required to offer our products that incorporate the open source software for no cost, make available the source code for modifications or derivative works we create based upon, incorporating, or using the open source software, and license such modifications or derivative works under the terms of the open source software. We may also be required to re-engineer our products or platform or to discontinue offering our products. These events may adversely affect our business, results of operations, and financial condition.</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risks related to license requirements, open source licensors generally do not provide warranties or other contractual protections regarding infringement, misappropriation, or other violations, the quality or security of code, or the origin of the software. Many of the risks associated with the use of open source software cannot be eliminated and could adversely affect our business, results of operations, and financial condition. For instance, open source software developers operate outside of our control and open source software may have security vulnerabilities, defects, or errors of which we are not aware. It may take a significant amount of time to address such vulnerabilities, defects, or errors once we are aware of them, which could negatively impact our products and services and result in liability to us, our vendors and service providers.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accused of infringing the intellectual property rights of third parties.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in the past and may in the future be accused of infringing, misappropriating, or otherwise violating the intellectual property or other proprietary rights of third parties. Although we seek to comply with the statutory, regulatory, and judicial frameworks and the terms and conditions of statutory licenses, we cannot assure you that we are not infringing or violating any third-party intellectual property rights, or that we will not do so in the future.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costs of litigation can be considerable, and we cannot assure you that we will achieve a favorable outcome of any such claim. Although we carry insurance, our insurance may not cover potential claims of this type or may not be adequate to cover us for all liability that may be imposed. If any such claim is valid, we may be required to stop using such intellectual property or other proprietary rights and pay damages, which could adversely affect our business. Even if such claims were not valid, defending them could be expensive and distract our management team.</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to defend, indemnify, and hold harmless certain of our customers and other counterparties from damages and costs arising from the infringement or claimed infringement by our products of third-party intellectual property rights. The scope of these indemnity obligations varies. Even if we are not a party to any litigation between a customer or other counterparty and a third party relating to alleged infringement in relation to our products,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Relating to Ownership of Our Class A Common Stock</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231F20"/>
        </w:rPr>
        <w:t>The trading price of our Class A common stock has been and is likely to continue to be volatile, which could cause the value of your investment to decline.</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The trading price of our Class A common stock has been and may continue to be highly volatile and could be subject to wide fluctuations. This volatility, as well as general economic, market, industry, and political conditions, and the occurrence of the risks discussed in this risk factor section, could reduce the market price of shares of our Class A common stock despite our operating performance.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addition, stock markets in general, and the market for technology and fintech companies in particular, have from time to time experienced extreme price and volume fluctuations that have affected and continue to affect the market prices of equity securities of many companies. In the past, stockholders have often instituted securities class action litigation against a company following periods of overall market volatility and volatility in the market price of that company’s securities. Securities litigation can result in substantial costs and divert resources and the attention of management. See Part I, Item 3 of this Annual Report on Form 10-K for more information about litigation proceedings.</w:t>
      </w:r>
    </w:p>
    <w:p>
      <w:pPr>
        <w:spacing w:after="0" w:line="73"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231F20"/>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Our Class B common stock has 10 votes per share, and our Class A common stock has one vote per share. Our directors, executive officers, and their affiliates, beneficially own in the aggregate 48% of the voting power of our capital stock as of December 31, 2025. The holders of our Class B common stock collectively continue to control a majority of the combined voting power of our common stock and therefore control all matters submitted to our stockholders for approval and may continue to control such matters until the tenth anniversary of our IPO, when all outstanding shares of Class A common stock and Class B common stock will convert automatically into shares of a single class of common stock.</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a stockholder.</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Transfers by holders of Class B common stock will generally result in those shares converting to Class A common stock, subject to limited exceptions, which has had and will continue to have the effect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Our dual class structure may also depress the trading price of our Class A common stock due to negative perceptions by market participants and other stakeholders. Certain index providers have announced restrictions on including companies with multiple-class share structures in certain of their indices. Similarly, several stockholder advisory firms have announced their opposition to the use of multiple-class structures. Any exclusion from indices or criticism of our corporate governance practices by stockholder advisory firms could result in a less active trading market for our Class A common stock.</w:t>
      </w:r>
    </w:p>
    <w:p>
      <w:pPr>
        <w:spacing w:after="0" w:line="7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231F20"/>
        </w:rPr>
        <w:t>Our issuance of additional capital stock may dilute your ownership and adversely affect the market price of our Class A common stock.</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We expect to issue additional capital stock in the future that will result in dilution to all other stockholders. For example, we could issue shares of our Class A common stock or securities convertible into our Class A common stock or debt or other securities in connection with acquisitions or other strategic transactions or in an attempt to obtain financing or to further increase our capital resources.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Additionally, we expect to grant equity awards to employees and directors under our stock incentive plan. We have granted equity awards to employees and directors under our stock incentive plans in the past, and such grants may dilute your ownership as the equity vests and the RSUs and PSUs are released and the options are exercised. In addition, as of December 31, 2025, we had 8,197,000 option shares outstanding that, if fully vested and exercised, would result in the issuance of an equal number of shares of Class A or Class B common stock, as well as 29,086,000 total shares of Class A or Class B common stock subject to RSU and PSU awards.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Any Class A common stock or securities convertible into shares of our Class A common stock that we issue from time to time will dilute your percentage ownership. In addition, issuing additional shares of our Class A common stock or securities convertible into our Class A common stock or debt or other securities may dilute your economic and voting rights and would likely reduce the market price of our Class A common stock both upon issuance and conversion, in the case of securities convertible into our Class A common stock.</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231F20"/>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 stockholder action by written consent, thereby requiring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31F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231F20"/>
        </w:rPr>
        <w:t>Our amended and restated bylaws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Our amended and restated bylaws provide that, unless we consent in writing to the selection of an alternative forum, to the fullest extent permitted by law, the Court of Chancery of the State of Delaware is the sole and exclusive forum for any state law claims for:</w:t>
      </w:r>
    </w:p>
    <w:p>
      <w:pPr>
        <w:spacing w:after="0" w:line="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our stockholders;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(the “Delaware Forum Provision”).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Delaware Forum Provision does not apply to any causes of action arising under the Securities Act of 1933, as amended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United States District Court for the District of Delaware shall be the sole and exclusive forum for resolving any complaint asserting a cause of action arising under the Securities Act (the “Federal Forum Provision”), as we are incorporated in the State of Delaware.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enhance long-term stockholder value. Share repurchases could also affect the trading price of our stock and may reduce working capital.</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has periodically authorized share repurchase programs for repurchases of shares of our Class A common stock, including most recently the authorization on December 4th, 2025, for the repurchase of up to an aggregate of $100 million of our Class A common stock (the “December 2025 Share Repurchase Program”). The actual timing, manner, number, and value of shares repurchased under the December 2025 Share Repurchase Program will depend on a number of factors, including the availability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cash, the market price of our Class A common stock, general market and economic conditions, applicable requirements, and other business considerations. The December 2025 Share Repurchase Program may be suspended, modified, or discontinued at any time and we have no obligation to repurchase any amount of our Class A common stock under the programs. The December 2025 Share Repurchase Program has no set expiration date. We intend to make all repurchases in compliance with applicable regulatory guidelines and to administer the plans in accordance with applicable laws, including Rule 10b-8 of the Exchange Act. Other risks and uncertainties include, among other things, the market price of our stock prevailing from time to time, the nature of other investment opportunities presented to us, our financial performance and our cash flows from operations, and general economic conditions, which could adversely affect our results of operations and cash flows.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conditions in the global economy could adversely affect our business and financial results.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the industry, and our customers’ businesses are generally sensitive to macroeconomic conditions. Our net revenue is impacted, to a significant extent, by general economic conditions, their impact on levels of spending by businesses and their customers, and the financial performance of our customers. Supply chain disruption, a global labor shortage, increased inflation, uncertainty in global regulatory and economic conditions, including as a result of uncertainty in global trade from actual and potential tariffs and counter tariffs, and higher interest rates have at times adversely affected our business, results of operations, and business outlook and could create uncertainty as to our and our customers’, vendors’ and other counterparties’ financial results, operations, and business outlook now or in the future. We are unable to predict the impact that these and other macroeconomic factors may have or continue to have on our business and processing volumes, and on our future results of operations.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Weak economic conditions or a significant deterioration in economic conditions could result in a reduced volume of business for our customers and prospective customers, demand for, and use of, our platform, products, and services may decline, and prospective customers could delay adoption or elect not to adopt our platform. If spending by their customers declines, our customers could process fewer payments with us or, if our customers cease to operate, they would stop using our platform, products, and services altogether. Moreover, if the financial condition of a customer deteriorates significantly or a customer becomes subject to a bankruptcy proceeding, we may not be able to recover amounts due to us from the customer.</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Weak economic conditions may make it more difficult to collect on outstanding accounts receivable. The global credit and financial markets have from time to time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pandemics, and other natural catastrophic events, and to interruption by man-made issues such as power disruptions and strikes.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systems and operations are vulnerable to damage or interruption from earthquakes, fires, floods, power losses, telecommunications failures, strikes, health pandemics, such as the COVID-19 pandemic, and similar events. For example, our principal executive office is located in the San Francisco Bay Area, a region known for seismic activity and wildfires, and a significant natural disaster in that area or any other location in which we have offices or facilities or employees working remotely, such as an earthquake, fire, or flood, could have a material adverse effect on our business, results of operations financial condition, and future prospects. Our insurance coverage may be insufficient to comp</w:t>
      </w:r>
      <w:r>
        <w:rPr>
          <w:rFonts w:ascii="Arial" w:cs="Arial" w:eastAsia="Arial" w:hAnsi="Arial"/>
          <w:sz w:val="18"/>
          <w:szCs w:val="18"/>
          <w:color w:val="231F20"/>
        </w:rPr>
        <w:t>ensate us for the losses that may occur. In addition, strikes, wars, terrorism, and other geopolitical unrest could cause</w:t>
      </w:r>
      <w:r>
        <w:rPr>
          <w:rFonts w:ascii="Arial" w:cs="Arial" w:eastAsia="Arial" w:hAnsi="Arial"/>
          <w:sz w:val="18"/>
          <w:szCs w:val="18"/>
          <w:color w:val="auto"/>
        </w:rPr>
        <w:t xml:space="preserve"> </w:t>
      </w:r>
      <w:r>
        <w:rPr>
          <w:rFonts w:ascii="Arial" w:cs="Arial" w:eastAsia="Arial" w:hAnsi="Arial"/>
          <w:sz w:val="18"/>
          <w:szCs w:val="18"/>
          <w:color w:val="231F20"/>
        </w:rPr>
        <w:t>disruptions in our business and lead to interruptions, delays, or loss of critical data. If a natural disaster, power outage, connectivity issue, or other event occurs that impacts our employees’ ability to work remotely, our business and results of operations could be adversely affected. We may not have sufficient protection or recovery plans in certain circumstances, such as a significant natural disaster, and our business interruption insurance may be insufficient to compensate us for losses that may occur.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1B. 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1C. Cybersecurity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industry is subject to various cybersecurity risks that could adversely affect our business, financial condition, and results of operations. While we have not, as of the date of this Annual Report on Form 10-K, experienced a cybersecurity threat or incident that resulted in a material adverse impact to our business or operations, there can be no guarantee that we will not experience such an incident in the future. See Item 1A, “Risk Factors,” in this Annual Report on Form 10-K for additional information regarding the risks related to cybersecurity threats.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Information Security Officer (“CISO”) is responsible for Marqeta’s information security posture and cybersecurity program. We believe our CISO is qualified to assess and manage our material risks from cybersecurity threats based on over 15 years of cybersecurity and risk management expertise as a security and risk management leader at various public and private companies and as a cyber threat intelligence analyst for a branch of the United States military. Our CISO oversees a team of cybersecurity professionals in areas including Governance, Risk, and Compliance, Product and Infrastructure Security, Security Operations, Business Continuity, Crisis Management, Business Technology, and Identity Security.</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cybersecurity program is designed to align with certain industry standards and best practices, such as ISO 27001 and the National Institute of Standards and Technology Cybersecurity Framework. We have a Cyber Incident Response Plan which defines roles and responsibilities in the event of a cybersecurity incident, as well as the processes for keeping the CISO, senior management, and the board of directors informed about the prevention, detection, mitigation, and remediation of cybersecurity incidents.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administers its cybersecurity risk oversight function directly as a whole, as well as through the audit committee. Our CISO provides quarterly and as-needed briefings to the audit committee regarding cybersecurity risks and activities, including any recent cybersecurity incidents and related responses, cybersecurity program health, and activities of third-party consultants. Our audit committee provides quarterly and as-needed updates to the board of directors on such reports and management provides annual and as-needed updates to the board of directors regarding our cybersecurity program.</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policies and processes in place for assessing, identifying, and managing material cybersecurity risks, and integrate these processes into our overall risk management systems. We conduct periodic assessments to identify reasonably foreseeable internal and external cybersecurity risks, the criticality of such risks, and the sufficiency of existing policies, procedures, systems, and safeguards in place to manage such risks.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risk-informed strategies, policies, standards, and action plans to minimize identified risks and reasonably address identified gaps in existing safeguards. These safeguards include vulnerability management, shift-left secure product design, data encryption, endpoint security, network security, limiting and authorizing access controls, and multi-factor authentication for access to systems with data. We also employ limited system monitoring, logging, and alerting to retain and analyze the security state of our corporate and production infrastructure. As part of our overall risk management system, all employees are required to complete annual cybersecurity training and relevant employees are trained at least annually on applicable safeguards.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periodically engage consultants in connection with our risk management processes to help us design and implement our cybersecurity policies, procedures, and controls, as well as to monitor and test our safeguards. We manage third party service providers using a risk-based approach intended to determine if the relevant third parties have the ability to implement and maintain appropriate security measures, consistent with all applicable laws, to implement and maintain reasonable security measures in connection with their work with us, and to promptly report any suspected breach of their security measures that may affect our business.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maturation and scaling of our cybersecurity program is ongoing and despite our investments in our cybersecurity program, there will always be residual risk and the potential for control failure or bypass by a determined cyber threat actor.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Properties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principal executive office is located in Oakland, California, under a lease agreement expiring in 2028. We also lease additional facilities in London, United Kingdom, Warsaw, Poland, Sliema, Malta, and Queensway, Gibraltar. We believe that our existing facilities are suitable to support our current and near-term operational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Legal Proceedings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we may be subject to legal proceedings and claims arising in the ordinary course of business. We are currently involved in the following matter:</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 xml:space="preserve">On December 9, 2024, a putative securities class action lawsuit, captioned </w:t>
      </w:r>
      <w:r>
        <w:rPr>
          <w:rFonts w:ascii="Arial" w:cs="Arial" w:eastAsia="Arial" w:hAnsi="Arial"/>
          <w:sz w:val="18"/>
          <w:szCs w:val="18"/>
          <w:i w:val="1"/>
          <w:iCs w:val="1"/>
          <w:color w:val="231F20"/>
        </w:rPr>
        <w:t>Wai v. Marqeta, Inc., et al.</w:t>
      </w:r>
      <w:r>
        <w:rPr>
          <w:rFonts w:ascii="Arial" w:cs="Arial" w:eastAsia="Arial" w:hAnsi="Arial"/>
          <w:sz w:val="18"/>
          <w:szCs w:val="18"/>
          <w:color w:val="231F20"/>
        </w:rPr>
        <w:t>, Case No. 24-cv-08874 (N.D. Cal.), was filed in federal court in the Northern District of California (“Court”) against the Company and certain of its current and former officers (“Defendants”) alleging violations of federal securities laws. The lawsuit asserts that during the putative class period of between August 7, 2024 and November 4, 2024, Defendants made false or misleading statements relating to the Company’s performance or revenue and gross profit expectations in violation of Sections 10(b) and 20(a) of the Securities Exchange Act of 1934 and Rule 10b-5 promulgated thereunder.</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On December 10, 2024, a second putative securities class action lawsuit, captioned </w:t>
      </w:r>
      <w:r>
        <w:rPr>
          <w:rFonts w:ascii="Arial" w:cs="Arial" w:eastAsia="Arial" w:hAnsi="Arial"/>
          <w:sz w:val="18"/>
          <w:szCs w:val="18"/>
          <w:i w:val="1"/>
          <w:iCs w:val="1"/>
          <w:color w:val="231F20"/>
        </w:rPr>
        <w:t>Ford v. Marqeta, Inc., et al.</w:t>
      </w:r>
      <w:r>
        <w:rPr>
          <w:rFonts w:ascii="Arial" w:cs="Arial" w:eastAsia="Arial" w:hAnsi="Arial"/>
          <w:sz w:val="18"/>
          <w:szCs w:val="18"/>
          <w:color w:val="231F20"/>
        </w:rPr>
        <w:t xml:space="preserve">, Case No. 24-cv-08892 (N.D. Cal.), was filed in the same Court against the same Defendants alleging violations of the same federal securities laws. The second lawsuit asserts similar theories of liability as the first lawsuit but alleges a broader putative class period of between May 7, 2024 and November 4, 2024 and some additional and/or different allegations on which the claims are based. Both lawsuits (collectively, the “Securities Actions”) seek to recover damages on behalf of shareholders who acquired shares of the Company’s common stock during their respective putative class periods. </w:t>
      </w:r>
      <w:r>
        <w:rPr>
          <w:rFonts w:ascii="Arial" w:cs="Arial" w:eastAsia="Arial" w:hAnsi="Arial"/>
          <w:sz w:val="18"/>
          <w:szCs w:val="18"/>
          <w:color w:val="000000"/>
        </w:rPr>
        <w:t>The Securities Actions have been consolidated into one consolidated securities litigation captioned</w:t>
      </w:r>
      <w:r>
        <w:rPr>
          <w:rFonts w:ascii="Arial" w:cs="Arial" w:eastAsia="Arial" w:hAnsi="Arial"/>
          <w:sz w:val="18"/>
          <w:szCs w:val="18"/>
          <w:color w:val="231F20"/>
        </w:rPr>
        <w:t xml:space="preserve"> </w:t>
      </w:r>
      <w:r>
        <w:rPr>
          <w:rFonts w:ascii="Arial" w:cs="Arial" w:eastAsia="Arial" w:hAnsi="Arial"/>
          <w:sz w:val="18"/>
          <w:szCs w:val="18"/>
          <w:i w:val="1"/>
          <w:iCs w:val="1"/>
          <w:color w:val="000000"/>
        </w:rPr>
        <w:t>In re Marqeta, Inc.</w:t>
      </w:r>
      <w:r>
        <w:rPr>
          <w:rFonts w:ascii="Arial" w:cs="Arial" w:eastAsia="Arial" w:hAnsi="Arial"/>
          <w:sz w:val="18"/>
          <w:szCs w:val="18"/>
          <w:color w:val="231F20"/>
        </w:rPr>
        <w:t xml:space="preserve"> </w:t>
      </w:r>
      <w:r>
        <w:rPr>
          <w:rFonts w:ascii="Arial" w:cs="Arial" w:eastAsia="Arial" w:hAnsi="Arial"/>
          <w:sz w:val="18"/>
          <w:szCs w:val="18"/>
          <w:i w:val="1"/>
          <w:iCs w:val="1"/>
          <w:color w:val="000000"/>
        </w:rPr>
        <w:t>Securities Litigation</w:t>
      </w:r>
      <w:r>
        <w:rPr>
          <w:rFonts w:ascii="Arial" w:cs="Arial" w:eastAsia="Arial" w:hAnsi="Arial"/>
          <w:sz w:val="18"/>
          <w:szCs w:val="18"/>
          <w:color w:val="000000"/>
        </w:rPr>
        <w:t>, Case No. 24-08874-YGR (N.D. Cal) and the Court has appointed a lead plaintiff and lead plaintiff’s counsel in the</w:t>
      </w:r>
      <w:r>
        <w:rPr>
          <w:rFonts w:ascii="Arial" w:cs="Arial" w:eastAsia="Arial" w:hAnsi="Arial"/>
          <w:sz w:val="18"/>
          <w:szCs w:val="18"/>
          <w:i w:val="1"/>
          <w:iCs w:val="1"/>
          <w:color w:val="000000"/>
        </w:rPr>
        <w:t xml:space="preserve"> </w:t>
      </w:r>
      <w:r>
        <w:rPr>
          <w:rFonts w:ascii="Arial" w:cs="Arial" w:eastAsia="Arial" w:hAnsi="Arial"/>
          <w:sz w:val="18"/>
          <w:szCs w:val="18"/>
          <w:color w:val="000000"/>
        </w:rPr>
        <w:t>matter. On April 10, 2025, the lead plaintiff filed a consolidated amended complaint, which alleges a putative class period of between February 28, 2024 and November 4, 2024. We and the other Defendants filed a motion to dismiss the consolidated amended complaint on May 15, 2025.</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3, 2025, a settlement was reached, in principle, with the lead plaintiff’s counsel to resolve the Securities Actions for payments totaling $13.0 million, subject to further documentation and judicial approvals. The Company’s Directors and Officers insurance policy includes a $5.0 million self-insured retention that applies to covered losses related to the Securities Actions, including legal defense fees and settlement payments. If finalized, the settlement will be funded by insurance less the self-insured retention.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4, 2025, a putative shareholder derivative lawsuit, capti</w:t>
      </w:r>
      <w:r>
        <w:rPr>
          <w:rFonts w:ascii="Arial" w:cs="Arial" w:eastAsia="Arial" w:hAnsi="Arial"/>
          <w:sz w:val="18"/>
          <w:szCs w:val="18"/>
          <w:color w:val="231F20"/>
        </w:rPr>
        <w:t>oned</w:t>
      </w:r>
      <w:r>
        <w:rPr>
          <w:rFonts w:ascii="Arial" w:cs="Arial" w:eastAsia="Arial" w:hAnsi="Arial"/>
          <w:sz w:val="18"/>
          <w:szCs w:val="18"/>
          <w:color w:val="auto"/>
        </w:rPr>
        <w:t xml:space="preserve"> </w:t>
      </w:r>
      <w:r>
        <w:rPr>
          <w:rFonts w:ascii="Arial" w:cs="Arial" w:eastAsia="Arial" w:hAnsi="Arial"/>
          <w:sz w:val="18"/>
          <w:szCs w:val="18"/>
          <w:i w:val="1"/>
          <w:iCs w:val="1"/>
          <w:color w:val="231F20"/>
        </w:rPr>
        <w:t>Smith v. Khalaf, et al.</w:t>
      </w:r>
      <w:r>
        <w:rPr>
          <w:rFonts w:ascii="Arial" w:cs="Arial" w:eastAsia="Arial" w:hAnsi="Arial"/>
          <w:sz w:val="18"/>
          <w:szCs w:val="18"/>
          <w:color w:val="231F20"/>
        </w:rPr>
        <w:t>, Case No. 25-cv-01174 (N.D. Cal.), was filed</w:t>
      </w:r>
      <w:r>
        <w:rPr>
          <w:rFonts w:ascii="Arial" w:cs="Arial" w:eastAsia="Arial" w:hAnsi="Arial"/>
          <w:sz w:val="18"/>
          <w:szCs w:val="18"/>
          <w:color w:val="auto"/>
        </w:rPr>
        <w:t xml:space="preserve"> </w:t>
      </w:r>
      <w:r>
        <w:rPr>
          <w:rFonts w:ascii="Arial" w:cs="Arial" w:eastAsia="Arial" w:hAnsi="Arial"/>
          <w:sz w:val="18"/>
          <w:szCs w:val="18"/>
          <w:color w:val="231F20"/>
        </w:rPr>
        <w:t xml:space="preserve">in the same Court against certain of the Company’s current and former officers and its Board of Directors (as then constituted), and named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 captioned </w:t>
      </w:r>
      <w:r>
        <w:rPr>
          <w:rFonts w:ascii="Arial" w:cs="Arial" w:eastAsia="Arial" w:hAnsi="Arial"/>
          <w:sz w:val="18"/>
          <w:szCs w:val="18"/>
          <w:i w:val="1"/>
          <w:iCs w:val="1"/>
          <w:color w:val="231F20"/>
        </w:rPr>
        <w:t>Ojserkis v. Khalaf, et al.</w:t>
      </w:r>
      <w:r>
        <w:rPr>
          <w:rFonts w:ascii="Arial" w:cs="Arial" w:eastAsia="Arial" w:hAnsi="Arial"/>
          <w:sz w:val="18"/>
          <w:szCs w:val="18"/>
          <w:color w:val="231F20"/>
        </w:rPr>
        <w:t xml:space="preserve">, Case No. 25-cv-01883 (N.D. Cal.) </w:t>
      </w:r>
      <w:r>
        <w:rPr>
          <w:rFonts w:ascii="Arial" w:cs="Arial" w:eastAsia="Arial" w:hAnsi="Arial"/>
          <w:sz w:val="18"/>
          <w:szCs w:val="18"/>
          <w:color w:val="000000"/>
        </w:rPr>
        <w:t>and</w:t>
      </w:r>
      <w:r>
        <w:rPr>
          <w:rFonts w:ascii="Arial" w:cs="Arial" w:eastAsia="Arial" w:hAnsi="Arial"/>
          <w:sz w:val="18"/>
          <w:szCs w:val="18"/>
          <w:color w:val="231F20"/>
        </w:rPr>
        <w:t xml:space="preserve"> </w:t>
      </w:r>
      <w:r>
        <w:rPr>
          <w:rFonts w:ascii="Arial" w:cs="Arial" w:eastAsia="Arial" w:hAnsi="Arial"/>
          <w:sz w:val="18"/>
          <w:szCs w:val="18"/>
          <w:i w:val="1"/>
          <w:iCs w:val="1"/>
          <w:color w:val="000000"/>
        </w:rPr>
        <w:t>Preciado v. Khalaf, et al.</w:t>
      </w:r>
      <w:r>
        <w:rPr>
          <w:rFonts w:ascii="Arial" w:cs="Arial" w:eastAsia="Arial" w:hAnsi="Arial"/>
          <w:sz w:val="18"/>
          <w:szCs w:val="18"/>
          <w:color w:val="000000"/>
        </w:rPr>
        <w:t>, Case No. 3:25-cv-02100 (N.D. Cal.)</w:t>
      </w:r>
      <w:r>
        <w:rPr>
          <w:rFonts w:ascii="Arial" w:cs="Arial" w:eastAsia="Arial" w:hAnsi="Arial"/>
          <w:sz w:val="18"/>
          <w:szCs w:val="18"/>
          <w:i w:val="1"/>
          <w:iCs w:val="1"/>
          <w:color w:val="000000"/>
        </w:rPr>
        <w:t xml:space="preserve"> </w:t>
      </w:r>
      <w:r>
        <w:rPr>
          <w:rFonts w:ascii="Arial" w:cs="Arial" w:eastAsia="Arial" w:hAnsi="Arial"/>
          <w:sz w:val="18"/>
          <w:szCs w:val="18"/>
          <w:color w:val="231F20"/>
        </w:rPr>
        <w:t>were filed on February 21, 2025 and February 27, 2025, respectively.</w:t>
      </w:r>
      <w:r>
        <w:rPr>
          <w:rFonts w:ascii="Arial" w:cs="Arial" w:eastAsia="Arial" w:hAnsi="Arial"/>
          <w:sz w:val="18"/>
          <w:szCs w:val="18"/>
          <w:i w:val="1"/>
          <w:iCs w:val="1"/>
          <w:color w:val="000000"/>
        </w:rPr>
        <w:t xml:space="preserve"> </w:t>
      </w:r>
      <w:r>
        <w:rPr>
          <w:rFonts w:ascii="Arial" w:cs="Arial" w:eastAsia="Arial" w:hAnsi="Arial"/>
          <w:sz w:val="18"/>
          <w:szCs w:val="18"/>
          <w:color w:val="000000"/>
        </w:rPr>
        <w:t>All three</w:t>
      </w:r>
      <w:r>
        <w:rPr>
          <w:rFonts w:ascii="Arial" w:cs="Arial" w:eastAsia="Arial" w:hAnsi="Arial"/>
          <w:sz w:val="18"/>
          <w:szCs w:val="18"/>
          <w:i w:val="1"/>
          <w:iCs w:val="1"/>
          <w:color w:val="000000"/>
        </w:rPr>
        <w:t xml:space="preserve"> </w:t>
      </w:r>
      <w:r>
        <w:rPr>
          <w:rFonts w:ascii="Arial" w:cs="Arial" w:eastAsia="Arial" w:hAnsi="Arial"/>
          <w:sz w:val="18"/>
          <w:szCs w:val="18"/>
          <w:color w:val="000000"/>
        </w:rPr>
        <w:t xml:space="preserve">putative shareholder derivative suits have been consolidated into one lawsuit captioned </w:t>
      </w:r>
      <w:r>
        <w:rPr>
          <w:rFonts w:ascii="Arial" w:cs="Arial" w:eastAsia="Arial" w:hAnsi="Arial"/>
          <w:sz w:val="18"/>
          <w:szCs w:val="18"/>
          <w:i w:val="1"/>
          <w:iCs w:val="1"/>
          <w:color w:val="000000"/>
        </w:rPr>
        <w:t>In re Marqeta, Inc. Derivative Litigation</w:t>
      </w:r>
      <w:r>
        <w:rPr>
          <w:rFonts w:ascii="Arial" w:cs="Arial" w:eastAsia="Arial" w:hAnsi="Arial"/>
          <w:sz w:val="18"/>
          <w:szCs w:val="18"/>
          <w:color w:val="000000"/>
        </w:rPr>
        <w:t>, Case No. 4:25-cv-01174-YGR (N.D. Cal). The consolidated derivative action is currently stayed pending developments in the consolidated Securities Actions.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31F20"/>
        </w:rPr>
        <w:t>Given the inherent uncertainty of litigation, the Company cannot reasonably estimate the likelihood of an unfavorable outcome or the amount or range of any potential loss.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080"/>
        <w:spacing w:after="0" w:line="375" w:lineRule="auto"/>
        <w:rPr>
          <w:sz w:val="20"/>
          <w:szCs w:val="20"/>
          <w:color w:val="auto"/>
        </w:rPr>
      </w:pPr>
      <w:r>
        <w:rPr>
          <w:rFonts w:ascii="Arial" w:cs="Arial" w:eastAsia="Arial" w:hAnsi="Arial"/>
          <w:sz w:val="18"/>
          <w:szCs w:val="18"/>
          <w:b w:val="1"/>
          <w:bCs w:val="1"/>
          <w:color w:val="231F20"/>
        </w:rPr>
        <w:t xml:space="preserve">Item 5. Market for Registrant's Common Equity, Related Stockholder Matters and Issuer Purchases of Equity Securities </w:t>
      </w:r>
      <w:r>
        <w:rPr>
          <w:rFonts w:ascii="Arial" w:cs="Arial" w:eastAsia="Arial" w:hAnsi="Arial"/>
          <w:sz w:val="18"/>
          <w:szCs w:val="18"/>
          <w:b w:val="1"/>
          <w:bCs w:val="1"/>
          <w:color w:val="000000"/>
        </w:rPr>
        <w:t>Market Information for Common Stock</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Class A common stock trades on the Nasdaq Global Select Market under the symbol “MQ.” There is no public trading market for our Class B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February 20, 2026, we had 29 holders of record of our Class A common stock and 34 holders of record of our Class B common stock. Because many of the shares of our Class A common stock are held by brokers and other institutions on behalf of stockholders, we are unable to estimate the total number of beneficial owners of our Class A common stock represented by the record 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We have not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The following performance graph shall not be deemed “soliciting material” or deemed “filed” for purposes of Section 18 of the Exchange Act, or otherwise subject to the liabilities of Section 18 of the Exchange Act, and shall not be deemed to be incorporated by reference into any of our filings under the Exchange Act or the Securities Act.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stock performance graph depicts the cumulative total return on our Class A common stock relative to the cumulative total returns of the Nasdaq Composite Index and the S&amp;P Information Technology Index during each monthly period from June 9, 2021 (the date our Class A common stock began trading on the Nasdaq Global Select Market) through December 31, 2025. All values assume a $100 initial investment and reinvestment of dividends. The returns shown are based on historical results and are not intended to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57150</wp:posOffset>
            </wp:positionV>
            <wp:extent cx="5254625" cy="3000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546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relating to the repurchases of our common stock made by us in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right"/>
              <w:ind w:right="84"/>
              <w:spacing w:after="0"/>
              <w:rPr>
                <w:sz w:val="20"/>
                <w:szCs w:val="20"/>
                <w:color w:val="auto"/>
              </w:rPr>
            </w:pPr>
            <w:r>
              <w:rPr>
                <w:rFonts w:ascii="Arial" w:cs="Arial" w:eastAsia="Arial" w:hAnsi="Arial"/>
                <w:sz w:val="13"/>
                <w:szCs w:val="13"/>
                <w:b w:val="1"/>
                <w:bCs w:val="1"/>
                <w:color w:val="auto"/>
              </w:rPr>
              <w:t>Approximate Dollar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7"/>
              </w:rPr>
              <w:t>Purchased as Part of Publicly</w:t>
            </w:r>
          </w:p>
        </w:tc>
        <w:tc>
          <w:tcPr>
            <w:tcW w:w="100" w:type="dxa"/>
            <w:vAlign w:val="bottom"/>
          </w:tcPr>
          <w:p>
            <w:pPr>
              <w:spacing w:after="0"/>
              <w:rPr>
                <w:sz w:val="12"/>
                <w:szCs w:val="12"/>
                <w:color w:val="auto"/>
              </w:rPr>
            </w:pPr>
          </w:p>
        </w:tc>
        <w:tc>
          <w:tcPr>
            <w:tcW w:w="1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Value of Shares that May Yet</w:t>
            </w:r>
          </w:p>
        </w:tc>
        <w:tc>
          <w:tcPr>
            <w:tcW w:w="0" w:type="dxa"/>
            <w:vAlign w:val="bottom"/>
          </w:tcPr>
          <w:p>
            <w:pPr>
              <w:spacing w:after="0"/>
              <w:rPr>
                <w:sz w:val="1"/>
                <w:szCs w:val="1"/>
                <w:color w:val="auto"/>
              </w:rPr>
            </w:pPr>
          </w:p>
        </w:tc>
      </w:tr>
      <w:tr>
        <w:trPr>
          <w:trHeight w:val="135"/>
        </w:trPr>
        <w:tc>
          <w:tcPr>
            <w:tcW w:w="3620" w:type="dxa"/>
            <w:vAlign w:val="bottom"/>
            <w:vMerge w:val="restart"/>
          </w:tcPr>
          <w:p>
            <w:pPr>
              <w:ind w:left="1760"/>
              <w:spacing w:after="0"/>
              <w:rPr>
                <w:sz w:val="20"/>
                <w:szCs w:val="20"/>
                <w:color w:val="auto"/>
              </w:rPr>
            </w:pPr>
            <w:r>
              <w:rPr>
                <w:rFonts w:ascii="Arial" w:cs="Arial" w:eastAsia="Arial" w:hAnsi="Arial"/>
                <w:sz w:val="13"/>
                <w:szCs w:val="13"/>
                <w:b w:val="1"/>
                <w:bCs w:val="1"/>
                <w:color w:val="auto"/>
              </w:rPr>
              <w:t>Period</w:t>
            </w:r>
          </w:p>
        </w:tc>
        <w:tc>
          <w:tcPr>
            <w:tcW w:w="80" w:type="dxa"/>
            <w:vAlign w:val="bottom"/>
            <w:vMerge w:val="restart"/>
          </w:tcPr>
          <w:p>
            <w:pPr>
              <w:spacing w:after="0"/>
              <w:rPr>
                <w:sz w:val="11"/>
                <w:szCs w:val="11"/>
                <w:color w:val="auto"/>
              </w:rPr>
            </w:pPr>
          </w:p>
        </w:tc>
        <w:tc>
          <w:tcPr>
            <w:tcW w:w="1820" w:type="dxa"/>
            <w:vAlign w:val="bottom"/>
          </w:tcPr>
          <w:p>
            <w:pPr>
              <w:jc w:val="right"/>
              <w:ind w:right="179"/>
              <w:spacing w:after="0" w:line="135" w:lineRule="exact"/>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Average Price</w:t>
            </w:r>
          </w:p>
        </w:tc>
        <w:tc>
          <w:tcPr>
            <w:tcW w:w="1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Announced Plans 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center"/>
              <w:ind w:right="84"/>
              <w:spacing w:after="0" w:line="135" w:lineRule="exact"/>
              <w:rPr>
                <w:sz w:val="20"/>
                <w:szCs w:val="20"/>
                <w:color w:val="auto"/>
              </w:rPr>
            </w:pPr>
            <w:r>
              <w:rPr>
                <w:rFonts w:ascii="Arial" w:cs="Arial" w:eastAsia="Arial" w:hAnsi="Arial"/>
                <w:sz w:val="13"/>
                <w:szCs w:val="13"/>
                <w:b w:val="1"/>
                <w:bCs w:val="1"/>
                <w:color w:val="auto"/>
                <w:w w:val="96"/>
              </w:rPr>
              <w:t>Be Purchased Under the</w:t>
            </w:r>
          </w:p>
        </w:tc>
        <w:tc>
          <w:tcPr>
            <w:tcW w:w="0" w:type="dxa"/>
            <w:vAlign w:val="bottom"/>
          </w:tcPr>
          <w:p>
            <w:pPr>
              <w:spacing w:after="0"/>
              <w:rPr>
                <w:sz w:val="1"/>
                <w:szCs w:val="1"/>
                <w:color w:val="auto"/>
              </w:rPr>
            </w:pPr>
          </w:p>
        </w:tc>
      </w:tr>
      <w:tr>
        <w:trPr>
          <w:trHeight w:val="193"/>
        </w:trPr>
        <w:tc>
          <w:tcPr>
            <w:tcW w:w="3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Paid per Share</w:t>
            </w: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 xml:space="preserve">Programs </w:t>
            </w:r>
            <w:r>
              <w:rPr>
                <w:rFonts w:ascii="Arial" w:cs="Arial" w:eastAsia="Arial" w:hAnsi="Arial"/>
                <w:sz w:val="16"/>
                <w:szCs w:val="16"/>
                <w:b w:val="1"/>
                <w:bCs w:val="1"/>
                <w:color w:val="auto"/>
                <w:w w:val="92"/>
                <w:vertAlign w:val="superscript"/>
              </w:rPr>
              <w:t>(1)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3"/>
              </w:rPr>
              <w:t xml:space="preserve">Plans or Programs </w:t>
            </w:r>
            <w:r>
              <w:rPr>
                <w:rFonts w:ascii="Arial" w:cs="Arial" w:eastAsia="Arial" w:hAnsi="Arial"/>
                <w:sz w:val="16"/>
                <w:szCs w:val="16"/>
                <w:b w:val="1"/>
                <w:bCs w:val="1"/>
                <w:color w:val="auto"/>
                <w:w w:val="93"/>
                <w:vertAlign w:val="superscript"/>
              </w:rPr>
              <w:t>(1) (2)</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 October 31, 2025</w:t>
            </w: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9,245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43,891</w:t>
            </w:r>
          </w:p>
        </w:tc>
        <w:tc>
          <w:tcPr>
            <w:tcW w:w="0" w:type="dxa"/>
            <w:vAlign w:val="bottom"/>
          </w:tcPr>
          <w:p>
            <w:pPr>
              <w:spacing w:after="0"/>
              <w:rPr>
                <w:sz w:val="1"/>
                <w:szCs w:val="1"/>
                <w:color w:val="auto"/>
              </w:rPr>
            </w:pPr>
          </w:p>
        </w:tc>
      </w:tr>
      <w:tr>
        <w:trPr>
          <w:trHeight w:val="256"/>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2025</w:t>
            </w:r>
          </w:p>
        </w:tc>
        <w:tc>
          <w:tcPr>
            <w:tcW w:w="1820" w:type="dxa"/>
            <w:vAlign w:val="bottom"/>
          </w:tcPr>
          <w:p>
            <w:pPr>
              <w:jc w:val="right"/>
              <w:spacing w:after="0"/>
              <w:rPr>
                <w:sz w:val="20"/>
                <w:szCs w:val="20"/>
                <w:color w:val="auto"/>
              </w:rPr>
            </w:pPr>
            <w:r>
              <w:rPr>
                <w:rFonts w:ascii="Arial" w:cs="Arial" w:eastAsia="Arial" w:hAnsi="Arial"/>
                <w:sz w:val="18"/>
                <w:szCs w:val="18"/>
                <w:color w:val="auto"/>
              </w:rPr>
              <w:t>9,189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2"/>
                <w:szCs w:val="22"/>
                <w:color w:val="auto"/>
              </w:rPr>
            </w:pPr>
          </w:p>
        </w:tc>
        <w:tc>
          <w:tcPr>
            <w:tcW w:w="1820" w:type="dxa"/>
            <w:vAlign w:val="bottom"/>
          </w:tcPr>
          <w:p>
            <w:pPr>
              <w:jc w:val="right"/>
              <w:ind w:right="4"/>
              <w:spacing w:after="0"/>
              <w:rPr>
                <w:sz w:val="20"/>
                <w:szCs w:val="20"/>
                <w:color w:val="auto"/>
              </w:rPr>
            </w:pPr>
            <w:r>
              <w:rPr>
                <w:rFonts w:ascii="Arial" w:cs="Arial" w:eastAsia="Arial" w:hAnsi="Arial"/>
                <w:sz w:val="18"/>
                <w:szCs w:val="18"/>
                <w:color w:val="auto"/>
              </w:rPr>
              <w:t>9,189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2025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1,733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91,544</w:t>
            </w:r>
          </w:p>
        </w:tc>
        <w:tc>
          <w:tcPr>
            <w:tcW w:w="0" w:type="dxa"/>
            <w:vAlign w:val="bottom"/>
          </w:tcPr>
          <w:p>
            <w:pPr>
              <w:spacing w:after="0"/>
              <w:rPr>
                <w:sz w:val="1"/>
                <w:szCs w:val="1"/>
                <w:color w:val="auto"/>
              </w:rPr>
            </w:pPr>
          </w:p>
        </w:tc>
      </w:tr>
      <w:tr>
        <w:trPr>
          <w:trHeight w:val="243"/>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20,167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348" w:lineRule="auto"/>
        <w:tabs>
          <w:tab w:leader="none" w:pos="175"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On February 25, 2025, our Board of Directors authorized a new share repurchase program of up to $300 million of our Class A common stock (the “February 2025 Share Repurchase Program”). Under the February 2025 Share Repurchase Program, we were authorized to repurchase shares through open market purchases, in privately negotiated transactions, or by other means, in accordance with applicable federal securities laws, including through trading plans under Rule 10b5-1 of the Exchange Act. Repurchase decisions were based on general business and market conditions, and other factors, including legal requirements. Repurchases under the February 2025 Share Repurchase Program were completed as of December 31, 2025.</w:t>
      </w:r>
    </w:p>
    <w:p>
      <w:pPr>
        <w:spacing w:after="0" w:line="3" w:lineRule="exact"/>
        <w:rPr>
          <w:rFonts w:ascii="Arial" w:cs="Arial" w:eastAsia="Arial" w:hAnsi="Arial"/>
          <w:sz w:val="20"/>
          <w:szCs w:val="20"/>
          <w:color w:val="auto"/>
          <w:vertAlign w:val="superscript"/>
        </w:rPr>
      </w:pPr>
    </w:p>
    <w:p>
      <w:pPr>
        <w:jc w:val="both"/>
        <w:ind w:firstLine="8"/>
        <w:spacing w:after="0" w:line="24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On December 4, 2025, our Board of Directors authorized an additional share repurchase program of up to $100 million of the Company’s Class A common stock (the “December 2025 Share Repurchase Program”). Under the December 2025 Share Repurchase Program, we are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December 2025 Share Repurchase Program has no set expiration date.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7. Management's Discussion and Analysis of Financial Condition and Results of Operations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under the section titled “Risk Factors” under Part I, Item 1A. You should read the following discussion and analysis of our financial condition and results of operations together with our Audited Consolidated Financial Statements and the related notes included elsewhere in this Annual Report on Form 10-K.</w:t>
      </w:r>
    </w:p>
    <w:p>
      <w:pPr>
        <w:spacing w:after="0" w:line="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 discussion regarding our liquidity, financial condition, and results of operations for the fiscal year ended December 31, 2025 compared to the fiscal year ended December 31, 2024 is presented below. A discussion regarding our liquidity, financial condition, and results of operations for the fiscal year ended December 31, 2024 compared to the fiscal year ended December 31, 2023 can be found in “Management's Discussion and Analysis of Financial Condition and Results of Operations” in Part II, Item 7 of our Annual Report on Form 10-K for the fiscal year ended December 31, 2024 filed with the SEC on February 26, 2025, which is hereby incorporated by reference.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bank, network, and card program management and value added services, allowing our customers to embed Marqeta in their offering without having to build certain complex compliance elements or customer support services.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Marqeta’s innovative products are developed with deep domain expertise and a customer-first mindset to launch, scale, and manage card programs. Marqeta provides the following offerings based on a customer’s desired level of control and responsibility:</w:t>
      </w:r>
    </w:p>
    <w:p>
      <w:pPr>
        <w:spacing w:after="0" w:line="45" w:lineRule="exact"/>
        <w:rPr>
          <w:sz w:val="20"/>
          <w:szCs w:val="20"/>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Processing: Marqeta provides all of its customers with issuer processor services as our core offering. Payment processing provides customers with access to the Marqeta dashboard via our APIs and webhooks, our JIT Funding feature, and assists with certain configuration elements that enable customers to use the platform independently.</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 and Network Management: Marqeta provides a service option to connect customers to an Issuing Bank partner to act as the BIN sponsor for the customer’s card program, define and manage a number of the primary tasks related to launching a card program, and can provide a full range of services including configuring many of the critical resources required by a customer’s production environment and managing the applicable regulations and the Issuing Bank. In addition, Marqeta provides another service offering to manage compliance with applicable Card Network rules.</w:t>
      </w:r>
    </w:p>
    <w:p>
      <w:pPr>
        <w:spacing w:after="0" w:line="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Program Management: Marqeta provides additional program management services that are required as part of a card program, including chargebacks and dispute resolution, reconciliation, and card fulfillment.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Value Added Services: Marqeta provides value added services that provide a more seamless experience for our customers, which include tokenization, real-time decisioning and fraud management, digital banking, and other customer experience services.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“Business” under Part I, Item 1 of this Annual Report on Form 10-K for further discussion of our business and products.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Macroeconomic Factors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unable to predict the impact macroeconomic factors, including various geopolitical conflicts, uncertainty related to global elections, changes in inflation and interest rates, and uncertainty in global regulatory and economic conditions, including as a result of uncertainty in global trade from potential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tariffs and counter tariffs, will have on our processing volumes and on our future results of operations. A deterioration in macroeconomic conditions could increase the risk of lower consumer spending, including discretionary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 See the section titled “Risk Factors” under Part I, Item 1A of this Annual Report on Form 10-K for further discussion of the possible impact of these macroeconomic factors on our business.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382,513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291,105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222,264</w:t>
            </w:r>
          </w:p>
        </w:tc>
      </w:tr>
      <w:tr>
        <w:trPr>
          <w:trHeight w:val="270"/>
        </w:trPr>
        <w:tc>
          <w:tcPr>
            <w:tcW w:w="6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624,884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506,995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676,171</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Gross profit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437,272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351,849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329,514</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Net (loss) income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(13,925)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27,287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(222,962)</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Total operating expenses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483,702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376,315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612,529</w:t>
            </w:r>
          </w:p>
        </w:tc>
      </w:tr>
      <w:tr>
        <w:trPr>
          <w:trHeight w:val="270"/>
        </w:trPr>
        <w:tc>
          <w:tcPr>
            <w:tcW w:w="6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Non-GAAP Measures: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109,578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(2,290)</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327,694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322,756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331,804</w:t>
            </w: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Processing Volume (“TPV”)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TPV represents the total dollar amount of payments processed through our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We believe that TPV is a key operating metric and a principal indicator of the market adoption of our platform, growth of our brand, growth of our customers' businesses and scale of our business.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a non-GAAP financial measure that is calculated as Net (loss) income adjusted to exclude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share-based compensation expense; executive chairman long-term performance award;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non-recurring litigation expense; income tax expense (benefit);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 change in presentation, and a reconciliation of Net (loss) income to Adjusted EBITDA.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is a non-GAAP financial measure that is calculated as Adjusted EBITDA divided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 This measure is used by management and our Board of Directors to evaluate our operating efficiency. See the section below titled “Use of Non-GAAP Financial Measures” for a discussion of the use of non-GAAP measures and a reconciliation of Net (loss) income to Adjusted EBITDA Margin.</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Adjusted operating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operating expenses is a non-GAAP financial measure that is calculated as Total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adjusted to exclude depreciation and amortization; share-based compensation expense; executive chairman long-term performance award; payroll tax related to share-based compensation; restructuring and other one-time costs; non-recurring litigation expense; and acquisition-related expenses which consists of due diligence costs, transaction cost and integration costs related to potential or successful acquisitions, and cash and non-cash postcombination compensation expenses. We believe that adjusted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operation expenses to adjusted operating expenses.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Platform services revenue, net</w:t>
      </w:r>
      <w:r>
        <w:rPr>
          <w:rFonts w:ascii="Arial" w:cs="Arial" w:eastAsia="Arial" w:hAnsi="Arial"/>
          <w:sz w:val="18"/>
          <w:szCs w:val="18"/>
          <w:color w:val="auto"/>
        </w:rPr>
        <w:t>. Platform services revenue includes Interchange Fees, net of Revenue Share and other service-level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customers, and Card Network and Issuing Bank costs for certain customer arrangements where the Company is an agent in the delivery of services to the customer. Platform services revenue also includes processing and other fees. “Interchange Fees” are transaction-based and volume-based fees set by a Card Network and paid by a merchant bank to the Issuing Bank that issued the payment card used to purchase goods or services from a merchant. We earn Interchange Fees on card transactions we process for our customers and the fees are based on a percentage of the transaction amount plus a fixed amount per transaction. Interchange Fees are recognized when the associated transactions are settled.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Share payments are incentives to our customers to increase their processing volumes on our platform. Revenue Share is generally computed as a percentage of the Interchange Fees earned or processing volume and is paid to our customers monthly. Revenue Share payments are recorded as a reduction to net revenue. Generally, as customers' processing volumes increase, the rates at which we share revenue increase.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Processing and other fees are priced as either a percentage of processing volume or on a fee per transaction basis and are earned, for example, when payment cards are used at automated teller machines or to make cross-border purchases. Minimum processing fees, where customers' processing volumes fall below certain thresholds, as well as transaction fees for utilizing other value-added services and program management features, are also included in processing and other fees.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billed to customers upon ordering card inventory and recognized as revenue when the cards are shipped to the customers.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of revenue consist of Card Network fees, Issuing Bank fees, and card fulfillment costs for customer arrangements where we are the principal in providing services to the customer and excludes depreciation and amortization, which is reported separately within the Consolidated Statements of Operations and Comprehensive (Loss) Income.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amount per transaction. Card fulfillment costs include physical cards, packaging, and other fulfillment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marketing and incentive arrangements with Card Networks, that provide us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We account for these incentives as a reduction of Card Network fees within Costs of Revenue in customer arrangements where we act as the principal. As processing volumes increase, we earn a higher cumulative incentive rate, subject to achieving specific cumulative volume thresholds within an annual measurement period. For certain incentive arrangements, the annual measurement period may not align with our fiscal year.</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second quarter of fiscal year 2025, we recognized network incentives in the period when cumulative transaction volume thresholds were met, due to insufficient data to reliably estimate the amount of incentives Card Networks would ultimately earn over the respective annual period. This approach resulted in fluctuations in Card Network incentives, particularly when thresholds were reached, as higher incentive rates were applied retroactively to the entire annual measurement period. Historically, we have earned the highest incentive rates in the first quarter of our fiscal year, when annual measurement periods are nearing completion and higher cumulative transaction volume thresholds are achieved. Conversely, the second quarter generally reflected the lowest incentive rates, as the annual measurement periods and cumulative transaction volume thresholds reset to lower levels.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in the second quarter of fiscal year 2025, we revised our accounting policy for estimating and recognizing network incentives. We now estimate and recognize network incentives based on the cumulative incentive rate we expect to earn over the annual measurement period. We estimate the cumulative incentive rates based on our forecasts for the annual measurement periods, which incorporates both historical experience and our expectations of future events, in addition to other qualitative considerations. The estimated cumulative incentive rates are applied to the volume and/or number of transactions processed during the reporting period to calculate the quarterly network incentives recognized. As a result of this policy revision, the Card Network incentives recognized during the year ended December 31, 2025 were $1.5 million higher compared to the amount that would have been recognized under the previous policy.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(Benefit)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Compensation and benefits consist primarily of salaries, employee benefits, severance and other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incentive compensation, contractors’ cost, and share-based compensation.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Technology consists primarily of third-party hosting fees, software licenses, and hardware purchases below our 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and support and maintenance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audit, and recruiting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and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internal-use software and developed technology intangible assets.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and promotional activities.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insurance costs, indemnification costs, travel-related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state and local taxes, and other general office expenses.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Executive Chairman Long-Term Performance Award. </w:t>
      </w:r>
      <w:r>
        <w:rPr>
          <w:rFonts w:ascii="Arial" w:cs="Arial" w:eastAsia="Arial" w:hAnsi="Arial"/>
          <w:sz w:val="18"/>
          <w:szCs w:val="18"/>
          <w:color w:val="auto"/>
        </w:rPr>
        <w:t>Executive Chairman Long-Term Performance Award consists of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related to the Executive Chairman’s Long-Term Performance Award, including the impact of forfeiture. The Executive Chairman Long-Term Performance Award was forfeited in fiscal year 2024 as a result of the Company’s Executive Chairman transitioning to a non-employee director role on the Board of Directors.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income, net consists primarily of interest income from our short-term investments and cash deposits, and realized foreign currency gains and losses.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(benefit) consists of U.S. federal and state income taxes, and income taxes related to certain foreign jurisdictions. We maintain a full valuation allowance against our U.S. federal and state net deferred tax assets as we have concluded that it is not more likely than not that we will realize our net deferred tax assets.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2025, the One Big Beautiful Bill Act (H.R. 1, the “Tax Act”) was signed into law, reinstating certain provisions from the 2017 Tax Cuts and Jobs Act, including 100% bonus depreciation under Section 168(k) and immediate expensing of U.S.-based research costs under Section 174. Due to the full valuation allowance on our deferred tax assets, the Tax Act did not have a material impact on our overall tax expense or effective tax rate for the year ended December 31,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7"/>
        </w:trPr>
        <w:tc>
          <w:tcPr>
            <w:tcW w:w="65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2023</w:t>
            </w:r>
          </w:p>
        </w:tc>
      </w:tr>
      <w:tr>
        <w:trPr>
          <w:trHeight w:val="224"/>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624,884</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676,171</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Costs of 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346,657</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329,514</w:t>
            </w: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Operating expenses (benefit):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446,381</w:t>
            </w: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55,612</w:t>
            </w: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21,679</w:t>
            </w: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4,361</w:t>
            </w: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2,566</w:t>
            </w: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17,975</w:t>
            </w: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Executive chairman long-term performance award</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53,214</w:t>
            </w:r>
          </w:p>
        </w:tc>
      </w:tr>
      <w:tr>
        <w:trPr>
          <w:trHeight w:val="223"/>
        </w:trPr>
        <w:tc>
          <w:tcPr>
            <w:tcW w:w="656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483,702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612,529</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(283,015)</w:t>
            </w: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(Loss) income before income tax expense (benefit)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(230,575)</w:t>
            </w: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(222,962)</w:t>
            </w: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Fiscal Years Ended December 31, 2025 and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7"/>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594,137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481,665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112,472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30,747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25,330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624,884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506,995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382,513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291,105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1"/>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platform services, net revenue increased by $112.5 million, or 23%, for the year ended December 31, 2025 compared to the year ended December 31, 2024. The overall increase in platform services revenue was primarily driven by a 31% increase in TPV, partially offset by unfavorable shifts in our card program mix, particularly the expansion of programs where we provide processing services with minimal or no program management services.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services revenue increased $5.4 million, or 21%, for the year ended December 31, 2025 compared to the year ended December 31, 2024. This growth was driven by a rise in card-related fulfillment activities, reflecting an overall increase in customer card shipments compared to the prior year.</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TPV was driven by strong performance across all of our major use cases, particularly financial services, lending, including buy-now-pay later, and expense management. TPV from our top five customers, as determined by their individual processing volume in each respective period, grew 21% for the year ended December 31, 2025 compared to the year ended December 31, 2024. TPV from all other customers increased 69% over the same period. Note that the composition of the top five customers may differ between the two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580" w:type="dxa"/>
            <w:vAlign w:val="bottom"/>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of revenue: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147,498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123,332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17,692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22,422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187,612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155,146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437,272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351,849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Costs of revenue increased by $32.5 million, or 21%, for the year ended December 31, 2025 compared to the year ended December 31, 2024, primarily driven by higher Card Network and Issuing Bank fees related to the 31% growth in TPV. This increase was partially offset by $1.5 million of higher network incentives recognized in 2025 due to the revised accounting policy for estimating incentives as Card Network fees are presented net of monetary incentives received from Card Networks.</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increased by $85.4 million, or 24%, for the year ended December 31, 2025 compared to the year ended December 31, 2024, as net revenue growth outpaced the increase in costs of revenue. As a result, gross margin improved to 70% during the year ended December 31, 2025 from 69% in the prior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(Benefit)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47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56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 (benefit):</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235,631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261,033</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(25,402)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104,788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136,562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340,419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397,595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(57,176)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65,005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60,059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21,879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20,057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5,995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27,163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17,460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20,397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16,780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Executive chairman long-term performance award</w:t>
            </w:r>
          </w:p>
        </w:tc>
        <w:tc>
          <w:tcPr>
            <w:tcW w:w="3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(144,617)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144,617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74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483,702</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376,315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107,387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23"/>
        </w:trPr>
        <w:tc>
          <w:tcPr>
            <w:tcW w:w="474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bonus, benefits, and payroll taxes decreased by $25.4 million, or 10%, for the year ended December 31, 2025 compared to the year ended December 31, 2024. This decrease was primarily driven by lower year-over-year post-combination compensation expenses for former Power Finance employees and higher capitalization of salaries, bonus, and benefits costs associated with internal-use software development activities during 2025. These savings were partially offset by an increase in year-over-year bonus expense and severance and one-time retention bonuses awarded to certain key employees during the year ended December 31, 2025 for which there were no comparable expenses in 2024.</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Share-based compensation decreased by $31.8 million, or 23%, for the year ended December 31, 2025 compared to the year ended December 31, 2024. This decrease was mainly due to higher year-over-year forfeitures of stock based awards, including those related to the departure of our former CEO in the first quarter of 2025, as well as the full vesting of older stock option grants outpacing the expense from newer restricted stock unit awards.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Technology expenses increased by $4.9 million, or 8%, for the year ended December 31, 2025 compared to the year ended December 31, 2024. This increase was mainly driven by higher software license and hosting costs to support system and tool implementations amid ongoing business growth.</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Professional services expenses increased by $ 1.8 million, or 9%, for the year ended December 31, 2025 compared to the year ended December 31, 2024. This increase was primarily due to an increase in administrative consulting services.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Occupancy expense decreased by $2.2 million, or 37%, for the year ended December 31, 2025 compared to the year ended December 31, 2024. The decrease primarily resulted from a non-recurring impairment charge related to the right-of-use assets for our Oakland office recorded in the fourth quarter of 2024, with no comparable charge in 2025, as well as lower ongoing lease costs resulting from the downsizing of our operating lease footprint.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Depreciation and amortization increased by $9.7 million, or 56%, for the year ended December 31, 2025 compared to the year ended December 31, 2024. The increase was primarily driven by higher amortization of internally developed software as additional projects were capitalized and placed into service during the year ended December 31, 2025. To a lesser extent, amortization of the customer relationships intangible asset acquired from the TransactPay acquisition, which started in the third quarter of 2025, contributed to the increase.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Marketing and advertising expenses increased by $2.1 million, or 70%, for the year ended December 31, 2025 compared to the year ended December 31, 2024, which was driven by our continued investment in brand awareness and customer acquisition initiatives to support business growth.</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operating expenses increased by $3.6 million, or 22%, for the year ended December 31, 2025 compared to the year ended December 31, 2024. The increase was primarily due to legal contingency expense recognized during the year ended December 31, 2025 in connection with the Securities Actions.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executive chairman long-term performance award decreased by 100% for the year ended December 31, 2025 compared to December 31, 2024 due to the forfeiture in the second quarter of 2024 following the Executive Chairman’s transition to a non-employee director role on the Board of Directors.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47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33,101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52,546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income, net decreased by $ 19.4 million, or 37% for the year ended December 31, 2025 compared to the year ended December 31, 2024. This decrease was primarily driven by lower interest income on our short-term investment portfolio and cash balances, reflecting lower average balances primarily due to $391.4 million of share repurchases completed during the year ended December 31, 2025, as well as lower average yields during the year ended December 31, 2025 compared to the prior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tax expense decreased by $0.2 million or 25% for the year ended December 31, 2025 compared to the year ended December 31, 2024 primarily due to an increase in research and development tax credits generated in Canada.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generated 45% and 47% of our net revenue from our largest customer, Block, during the years ended December 31, 2025 and 2024,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spacing w:after="0" w:line="71" w:lineRule="exact"/>
        <w:rPr>
          <w:sz w:val="20"/>
          <w:szCs w:val="20"/>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operating expenses differently than how we calculate these measures or not at all; limiting their usefulness as comparative measures;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may require future replacement, and adjusted EBITDA does not reflect cash capital expenditure requirements for such replacements or for new capital expenditures;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reconciliation of Net (loss) income to adjusted EBITDA and GAAP operating expenses to Adjusted operating expenses for the periods presented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6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624,884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506,995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676,171</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(13,925)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27,287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(222,962)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483,702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376,315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612,529</w:t>
            </w: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(13,925)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27,287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(222,962)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104,788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136,562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130,416</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41,584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75,473</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Restructuring and other one-time costs </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Non-recurring litigation expense </w:t>
            </w:r>
            <w:r>
              <w:rPr>
                <w:rFonts w:ascii="Arial" w:cs="Arial" w:eastAsia="Arial" w:hAnsi="Arial"/>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rPr>
                <w:sz w:val="20"/>
                <w:szCs w:val="20"/>
                <w:color w:val="auto"/>
              </w:rPr>
            </w:pPr>
            <w:r>
              <w:rPr>
                <w:rFonts w:ascii="Arial" w:cs="Arial" w:eastAsia="Arial" w:hAnsi="Arial"/>
                <w:sz w:val="18"/>
                <w:szCs w:val="18"/>
                <w:color w:val="auto"/>
              </w:rPr>
              <w:t>Payroll tax expense related to share-based compensation</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(144,617)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53,214</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(52,546)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(52,440)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109,578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29,093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483,702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376,315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612,529</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(104,788)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(136,562)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(130,416)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29"/>
        </w:trPr>
        <w:tc>
          <w:tcPr>
            <w:tcW w:w="6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(41,584)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(75,473)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Restructuring and other one-time costs</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30"/>
        </w:trPr>
        <w:tc>
          <w:tcPr>
            <w:tcW w:w="6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Non-recurring litigation expenses </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Payroll tax expense related to share-based compensation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144,617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(53,214)</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327,694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322,756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331,804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73" w:lineRule="exact"/>
        <w:rPr>
          <w:sz w:val="20"/>
          <w:szCs w:val="20"/>
          <w:color w:val="auto"/>
        </w:rPr>
      </w:pPr>
    </w:p>
    <w:p>
      <w:pPr>
        <w:ind w:firstLine="8"/>
        <w:spacing w:after="0" w:line="285" w:lineRule="auto"/>
        <w:tabs>
          <w:tab w:leader="none" w:pos="229"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Restructuring includes a net reduction of $2.9 million of stock-based compensation related to the forfeiture of certain equity awards during the year ended December 31, 2023. See Note 13, “Restructuring” for additional information.</w:t>
      </w:r>
    </w:p>
    <w:p>
      <w:pPr>
        <w:spacing w:after="0" w:line="9" w:lineRule="exact"/>
        <w:rPr>
          <w:rFonts w:ascii="Arial" w:cs="Arial" w:eastAsia="Arial" w:hAnsi="Arial"/>
          <w:sz w:val="14"/>
          <w:szCs w:val="14"/>
          <w:color w:val="auto"/>
        </w:rPr>
      </w:pPr>
    </w:p>
    <w:p>
      <w:pPr>
        <w:jc w:val="both"/>
        <w:ind w:firstLine="8"/>
        <w:spacing w:after="0" w:line="268" w:lineRule="auto"/>
        <w:tabs>
          <w:tab w:leader="none" w:pos="2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pacing w:after="0" w:line="1" w:lineRule="exact"/>
        <w:rPr>
          <w:rFonts w:ascii="Arial" w:cs="Arial" w:eastAsia="Arial" w:hAnsi="Arial"/>
          <w:sz w:val="14"/>
          <w:szCs w:val="14"/>
          <w:color w:val="auto"/>
        </w:rPr>
      </w:pPr>
    </w:p>
    <w:p>
      <w:pPr>
        <w:jc w:val="both"/>
        <w:ind w:firstLine="8"/>
        <w:spacing w:after="0" w:line="256" w:lineRule="auto"/>
        <w:tabs>
          <w:tab w:leader="none" w:pos="218"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Restructuring and other one-time costs consist primarily of severance expenses and other one-time expenses related to executive transitions. For the year ended December 31, 2025, these costs were associated with the transition of our former CEO and other key executives and retention bonuses given to certain key employees. Retention bonuses are subject to service requirements and are recognized as expense ratably over the requisite service period. For the year ended December 31, 2023, these costs were incurred in connection with an approved restructuring plan. See Note 13, “Restructuring” for additional information.</w:t>
      </w:r>
    </w:p>
    <w:p>
      <w:pPr>
        <w:spacing w:after="0" w:line="1" w:lineRule="exact"/>
        <w:rPr>
          <w:rFonts w:ascii="Arial" w:cs="Arial" w:eastAsia="Arial" w:hAnsi="Arial"/>
          <w:sz w:val="14"/>
          <w:szCs w:val="14"/>
          <w:color w:val="auto"/>
        </w:rPr>
      </w:pPr>
    </w:p>
    <w:p>
      <w:pPr>
        <w:ind w:firstLine="8"/>
        <w:spacing w:after="0" w:line="284" w:lineRule="auto"/>
        <w:tabs>
          <w:tab w:leader="none" w:pos="238"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Non-recurring litigation expense includes a legal contingency expense related to the Securities Actions. See Note 10, “Commitments and Contingencies”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historically financed our operations primarily through the issuance of equity securities, including net proceeds of approximately $1.3 billion from our IPO, and cash generated from operations. In recent years, we have achieved positive cash flows from operations, and a significant portion of our current cash, cash equivalents and short-term investments consists of remaining IPO proceeds supplemented by cash generated from our ongoing business activities.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we had $771.9 million of cash, cash equivalents and short-term investments, a decrease of $330.5 million from December 31, 2024. This decrease was primarily driven by cash used for share repurchases under our authorized repurchase programs, a business acquisition, and capital expenditures, partially offset by cash generated from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2025, our principal sources of liquidity included cash, cash equivalents, and short-term investments totaling $771.9 million, with such amounts held for working capital purposes, and cash provided by operations. Our cash and cash equivalents and short-term investments were comprised primarily of bank deposits, money market funds, U.S. treasury bills, U.S. treasury securities, U.S. agency securities, asset-backed securities, and corporate debt securities. We have generated significant operating losses as reflected in our accumulated deficit.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Uses of Cash</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uses of cash include operating costs such as compensation and benefits, technology costs, professional services, lease obligations, and other expenditures necessary to support our operations. Our future capital requirements will depend on many factors, including our continued investments in product development, platform infrastructure, share repurchases, and global expansion. We intend to allocate our cash toward ongoing business investments, potential strategic acquisitions, capital expenditures, share repurchases, and investment in our infrastructure, including our non-cancellable purchase commitments with cloud-computing service providers and certain Issuing Banks.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existing cash and cash equivalents and our short-term investments will be sufficient to meet our working capital and capital expenditure needs for more than the next 12 months. As of the date of filing this Annual Report on Form 10-K, we have access to and control over all our cash, cash equivalents, and short-term investments, with the exception of restricted cash. The majority of our restricted cash amounts are held solely for safeguarding customer funds in connection with TransactPay’s card and e-money wallet programs, and are not available for our general corporate purposes or operations.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2023, we acquired all outstanding stock of Power Finance. Upon the closure of the acquisition, we paid $135.8 million to the shareholders of Power Finance Inc, net of cash acquired. Additionally, we paid $ 53.1 million in contingent consideration upon achievement of specified performance-based milestones. We also entered into postcombination cash compensation arrangements with certain key acquired employees whereby we agreed to pay them $85.1 million of cash over a weighted-average service period of 2.2 years following the acquisition date (subject to forfeiture upon termination). As of December 31, 2025, $1.0 million of the postcombination cash compensation arrangements remained outstanding.</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transaction to acquire TransactPay was completed on July 31, 2025 (“Closing”) for a total purchase price of approximately $59.9 million, as disclosed in Note 4 “Business Combinations” to the consolidated financial statements. The total consideration primarily consisted of $54.0 million in cash paid at Closing, approximately $3.6 million in contingent consideration payable upon achievement of specified post-closing performance conditions through December 31, 2025, and approximately $2.3 million in holdbacks retained to secure sellers’ indemnification obligations and post-closing purchase price adjustments, which will be released within one year upon satisfactory resolution of related matters. In accordance with the procedures outlined in the merger agreement, we paid the sellers approximately $1.1 million of the $1.2 million originally withheld for such adjustments. As of December 31, 2025, $2.4 million of the holdbacks remain outstanding, retained solely for general indemnification purposes, and are expected to be released within one year, subject to any valid indemnification claims asserted prior to the scheduled release date.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periodically authorized share repurchase programs for repurchases of shares of our Class A common stock, including most recently on December 4, 2025, when our Board of Directors authorized an additional share repurchase program of up to $100 million of the Company’s Class A common stock (the “December 2025 Share Repurchase Program”). Under the December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December 2025 Share Repurchase Program has no set expiration date. As of December 31, 2025, $91.5 million remained available for future share repurchases under the December 2025 Share Repurchase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2025, we had $308.5 million in restricted cash of which $306.9 million is related to the cash and cash equivalents held by TransactPay on behalf of its customers related to card and e-money wallet programs. Restricted cash also includes $ 1.6 million cash held at a bank to secure our payments under a lease agreement for our office space, of which $0.9 million is recorded in other assets in the Consolidated Balance Sheet.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r>
      <w:tr>
        <w:trPr>
          <w:trHeight w:val="196"/>
        </w:trPr>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162,623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21,104</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271,111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70,788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38,516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(347,319)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(261,794)</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86,415</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(202,174)</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cash from operating activities is net revenue. Primary cash outflows include Card Network and Issuing Bank fees, as well as employee-related compensation and technology expenses. The timing of settlements of certain operating assets and liabilities, such as revenue share payments, bonus payments, prepayments to cloud-computing service providers, settlements receivable, and network incentives receivable, may impact the amounts reported as net cash provided by or used in operating activities in the Consolidated Statements of Cash Flows.</w:t>
      </w:r>
    </w:p>
    <w:p>
      <w:pPr>
        <w:spacing w:after="0" w:line="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operating activities was $162.6 million for the year ended December 31, 2025 compared to $58.2 million in the year ended December 31, 2024. The year-over-year improvement was primarily driven by higher gross profit, reflecting stronger operational performance, as well favorable changes in working capital, which included the timing of settlements related to revenue share payable, accrued expenses and other liabilities, and network incentive receivables.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flows from investing activities primarily consist of proceeds from maturities of short-term investments, offset by purchases of short-term investments, acquisitions of property and equipment, capitalized internal-use software development costs, and cash consideration for business combinations.</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increased to $271.1 million for the year ended December 31, 2025, from $ 70.8 million in the year ended December 31, 2024. This year-over-year improvement was primarily driven by $229.7 million in restricted cash acquired as part of the TransactPay acquisition and $28.9 million in additional proceeds from maturities of short-term investments. These inflows were partially offset by $45.7 million in net cash used for the TransactPay acquisition, as well as ongoing capital expenditures for property, equipment, and internal-use software.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consists primarily of net payments related to share-based compensation activities, repurchases under our share repurchase program, and the net impact of changes in funds payable and amounts due to customers arising from the TransactPay acquisition.</w:t>
      </w:r>
    </w:p>
    <w:p>
      <w:pPr>
        <w:spacing w:after="0" w:line="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increased to $347.3 million for the year ended December 31, 2025, from $186.9 million in the year ended December 31, 2024. This year-over-year increase in outflows was primarily driven by repurchases of our Class A common stock under our share repurchase programs, partially offset by favorable changes in funds payable and amounts due to customers.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Obligations and Other Commitments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principal commitments consist of obligations under our operating leases for office space and other non-cancellable purchase commitments. For additional information about our operating leases and non-cancellable purchase commitments,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“Leases” and </w:t>
      </w:r>
      <w:r>
        <w:rPr>
          <w:rFonts w:ascii="Arial" w:cs="Arial" w:eastAsia="Arial" w:hAnsi="Arial"/>
          <w:sz w:val="18"/>
          <w:szCs w:val="18"/>
          <w:u w:val="single" w:color="auto"/>
          <w:color w:val="0000FF"/>
        </w:rPr>
        <w:t>Note 10</w:t>
      </w:r>
      <w:r>
        <w:rPr>
          <w:rFonts w:ascii="Arial" w:cs="Arial" w:eastAsia="Arial" w:hAnsi="Arial"/>
          <w:sz w:val="18"/>
          <w:szCs w:val="18"/>
          <w:color w:val="0000FF"/>
        </w:rPr>
        <w:t xml:space="preserve"> </w:t>
      </w:r>
      <w:r>
        <w:rPr>
          <w:rFonts w:ascii="Arial" w:cs="Arial" w:eastAsia="Arial" w:hAnsi="Arial"/>
          <w:sz w:val="18"/>
          <w:szCs w:val="18"/>
          <w:color w:val="000000"/>
        </w:rPr>
        <w:t>“Commitments and Contingencies” to our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accounting estimates and assumptions. Our actual results may differ from these estimates under different assumptions or conditions.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significant accounting policies, including recently issued and adopted accounting pronouncements, are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 Summary of Significant Accounting Policies” in the accompanying notes to our Consolidated Financial Statements included elsewhere in this Annual Report on Form 10-K. We believe that of our significant accounting policies, the following policies involve accounting estimates and assumptions which we consider to be the most critical to our financial statements. An accounting estimate or assumption is considered critical if both (a) the nature of the estimate or assumption is material due to the levels of subjectivity and judgment involved, and (b) the impact within a reasonable range of outcomes of the estimate and assumption is material to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interact with third party Issuing Banks and Card Networks to deliver our Platform Services to our customers. For revenue generated from customer arrangements that involve third parties, there is significant judgment in evaluating whether we are the principal, and report revenue on a gross basis, or the agent, and report revenue on a net basis. In this assessment, we consider if we obtain control of the specified goods or services before they are transferred to the customer. The assessment of whether we are considered the principal or the agent in a transaction could impact our Net revenue and Cost of revenue recognized on the Consolidated Statements of Operations and Comprehensive (Loss)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we acquire a business, the purchase price is allocated to the acquired assets, including separately identifiable intangible assets, and assumed liabilities at their respective estimated fair values. Any residual purchase price is recorded as goodwill. The allocation of the purchase price requires management to make significant estimates in determining the fair values of assets acquired and liabilities assumed, especially with respect to intangible assets. These estimates can include, but are not limited to:</w:t>
      </w:r>
    </w:p>
    <w:p>
      <w:pPr>
        <w:spacing w:after="0" w:line="6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expected cash flows from acquired licenses, developed technologies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useful life assumptions, such as the period of time and intended use of acquired intangible assets in our product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probability of achieving the expected performance of the earn-out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 tax positions and tax-related valuation allowances;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of assumed equity awards;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estimates are inherently uncertain and unpredictable, and unanticipated events and circumstances may occur that could affect the accuracy or validity of such assumptions, estimates, or actual results. During the measurement period, which may be up to one year from the acquisition date, adjustments to the fair value of these tangible and intangible assets acquired and liabilities assumed may be recorded, with the corresponding offset to goodwill. We continue to collect information and reevaluate these estimates and assumptions quarterly and record any adjustments to our preliminary estimates to goodwill provided that we are within the measurement period. Upon the conclusion of the measurement period or final determination of the fair value of assets acquired or liabilities assumed, whichever comes first, any subsequent adjustments are recorded to the Consolidated Statements of Operations and Comprehensive (Loss) Income. Earn-out provisions are initially measured at fair value as of the closing date, with subsequent changes in fair value recognized in the Consolidated Statements of Operations and Comprehensive (Loss) Income until settlement.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operations within the United States and globally, and we are exposed to market risks in the ordinary course of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31F20"/>
        </w:rPr>
        <w:t>Information relating to quantitative and qualitative disclosures about these market risks is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had cash, cash equivalents, and</w:t>
      </w:r>
      <w:r>
        <w:rPr>
          <w:rFonts w:ascii="Arial" w:cs="Arial" w:eastAsia="Arial" w:hAnsi="Arial"/>
          <w:sz w:val="18"/>
          <w:szCs w:val="18"/>
          <w:color w:val="auto"/>
        </w:rPr>
        <w:t xml:space="preserve"> short-term investments </w:t>
      </w:r>
      <w:r>
        <w:rPr>
          <w:rFonts w:ascii="Arial" w:cs="Arial" w:eastAsia="Arial" w:hAnsi="Arial"/>
          <w:sz w:val="18"/>
          <w:szCs w:val="18"/>
          <w:color w:val="231F20"/>
        </w:rPr>
        <w:t>totaling $ 771.9 million as of December 31, 2025. The fair value of our cash,</w:t>
      </w:r>
      <w:r>
        <w:rPr>
          <w:rFonts w:ascii="Arial" w:cs="Arial" w:eastAsia="Arial" w:hAnsi="Arial"/>
          <w:sz w:val="18"/>
          <w:szCs w:val="18"/>
          <w:color w:val="auto"/>
        </w:rPr>
        <w:t xml:space="preserve"> </w:t>
      </w:r>
      <w:r>
        <w:rPr>
          <w:rFonts w:ascii="Arial" w:cs="Arial" w:eastAsia="Arial" w:hAnsi="Arial"/>
          <w:sz w:val="18"/>
          <w:szCs w:val="18"/>
          <w:color w:val="231F20"/>
        </w:rPr>
        <w:t xml:space="preserve">cash equivalents, and </w:t>
      </w:r>
      <w:r>
        <w:rPr>
          <w:rFonts w:ascii="Arial" w:cs="Arial" w:eastAsia="Arial" w:hAnsi="Arial"/>
          <w:sz w:val="18"/>
          <w:szCs w:val="18"/>
          <w:color w:val="000000"/>
        </w:rPr>
        <w:t>short-term investments</w:t>
      </w:r>
      <w:r>
        <w:rPr>
          <w:rFonts w:ascii="Arial" w:cs="Arial" w:eastAsia="Arial" w:hAnsi="Arial"/>
          <w:sz w:val="18"/>
          <w:szCs w:val="18"/>
          <w:color w:val="231F20"/>
        </w:rPr>
        <w:t xml:space="preserve"> would not be significantly affected by either an i</w:t>
      </w:r>
      <w:r>
        <w:rPr>
          <w:rFonts w:ascii="Arial" w:cs="Arial" w:eastAsia="Arial" w:hAnsi="Arial"/>
          <w:sz w:val="18"/>
          <w:szCs w:val="18"/>
          <w:color w:val="000000"/>
        </w:rPr>
        <w:t>ncrease or decrease in interest rates due to the</w:t>
      </w:r>
      <w:r>
        <w:rPr>
          <w:rFonts w:ascii="Arial" w:cs="Arial" w:eastAsia="Arial" w:hAnsi="Arial"/>
          <w:sz w:val="18"/>
          <w:szCs w:val="18"/>
          <w:color w:val="231F20"/>
        </w:rPr>
        <w:t xml:space="preserve"> </w:t>
      </w:r>
      <w:r>
        <w:rPr>
          <w:rFonts w:ascii="Arial" w:cs="Arial" w:eastAsia="Arial" w:hAnsi="Arial"/>
          <w:sz w:val="18"/>
          <w:szCs w:val="18"/>
          <w:color w:val="000000"/>
        </w:rPr>
        <w:t>short-term maturities of these instruments. Because we classify our short-term investments as “available-for-sale”, no gains or losses are recognized in the Consolidated Statement of Operations and Comprehensive (Loss) Income due to changes in interest rates unless such securities are sold prior to maturity or declines in fair value are due to credit losses. We have the ability to hold all short-term investments until their maturities. A hypothetical 100 basis point increase or decreas</w:t>
      </w:r>
      <w:r>
        <w:rPr>
          <w:rFonts w:ascii="Arial" w:cs="Arial" w:eastAsia="Arial" w:hAnsi="Arial"/>
          <w:sz w:val="18"/>
          <w:szCs w:val="18"/>
          <w:color w:val="231F20"/>
        </w:rPr>
        <w:t>e in interest rates would not have a material effect on our financial</w:t>
      </w:r>
      <w:r>
        <w:rPr>
          <w:rFonts w:ascii="Arial" w:cs="Arial" w:eastAsia="Arial" w:hAnsi="Arial"/>
          <w:sz w:val="18"/>
          <w:szCs w:val="18"/>
          <w:color w:val="000000"/>
        </w:rPr>
        <w:t xml:space="preserve"> </w:t>
      </w:r>
      <w:r>
        <w:rPr>
          <w:rFonts w:ascii="Arial" w:cs="Arial" w:eastAsia="Arial" w:hAnsi="Arial"/>
          <w:sz w:val="18"/>
          <w:szCs w:val="18"/>
          <w:color w:val="231F20"/>
        </w:rPr>
        <w:t>results or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Exchange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majority </w:t>
      </w:r>
      <w:r>
        <w:rPr>
          <w:rFonts w:ascii="Arial" w:cs="Arial" w:eastAsia="Arial" w:hAnsi="Arial"/>
          <w:sz w:val="18"/>
          <w:szCs w:val="18"/>
          <w:color w:val="231F20"/>
        </w:rPr>
        <w:t>of our sales and operating expenses are denominated in U.S. dollars, and therefore our results of operations are not currently</w:t>
      </w:r>
      <w:r>
        <w:rPr>
          <w:rFonts w:ascii="Arial" w:cs="Arial" w:eastAsia="Arial" w:hAnsi="Arial"/>
          <w:sz w:val="18"/>
          <w:szCs w:val="18"/>
          <w:color w:val="auto"/>
        </w:rPr>
        <w:t xml:space="preserve"> </w:t>
      </w:r>
      <w:r>
        <w:rPr>
          <w:rFonts w:ascii="Arial" w:cs="Arial" w:eastAsia="Arial" w:hAnsi="Arial"/>
          <w:sz w:val="18"/>
          <w:szCs w:val="18"/>
          <w:color w:val="231F20"/>
        </w:rPr>
        <w:t>subject to significant foreign currency risk. As of December 31, 2025, a hypothetical 10% change in foreign currency exchange rates applicable to our business would not have had a material impact on our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99"/>
              </w:rPr>
              <w:t>MARQETA, INC.</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98"/>
              </w:rPr>
              <w:t>FORM 10-K</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3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0" w:type="dxa"/>
            <w:vAlign w:val="bottom"/>
            <w:gridSpan w:val="5"/>
          </w:tcPr>
          <w:p>
            <w:pPr>
              <w:jc w:val="center"/>
              <w:ind w:right="11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20" w:type="dxa"/>
            <w:vAlign w:val="bottom"/>
            <w:gridSpan w:val="4"/>
          </w:tcPr>
          <w:p>
            <w:pPr>
              <w:jc w:val="center"/>
              <w:ind w:left="1210"/>
              <w:spacing w:after="0"/>
              <w:rPr>
                <w:sz w:val="20"/>
                <w:szCs w:val="20"/>
                <w:color w:val="auto"/>
              </w:rPr>
            </w:pPr>
            <w:r>
              <w:rPr>
                <w:rFonts w:ascii="Arial" w:cs="Arial" w:eastAsia="Arial" w:hAnsi="Arial"/>
                <w:sz w:val="18"/>
                <w:szCs w:val="18"/>
                <w:b w:val="1"/>
                <w:bCs w:val="1"/>
                <w:color w:val="auto"/>
                <w:w w:val="97"/>
              </w:rPr>
              <w:t>Page</w:t>
            </w:r>
          </w:p>
        </w:tc>
      </w:tr>
      <w:tr>
        <w:trPr>
          <w:trHeight w:val="210"/>
        </w:trPr>
        <w:tc>
          <w:tcPr>
            <w:tcW w:w="20" w:type="dxa"/>
            <w:vAlign w:val="bottom"/>
          </w:tcPr>
          <w:p>
            <w:pPr>
              <w:spacing w:after="0"/>
              <w:rPr>
                <w:sz w:val="18"/>
                <w:szCs w:val="18"/>
                <w:color w:val="auto"/>
              </w:rPr>
            </w:pPr>
          </w:p>
        </w:tc>
        <w:tc>
          <w:tcPr>
            <w:tcW w:w="9200" w:type="dxa"/>
            <w:vAlign w:val="bottom"/>
            <w:gridSpan w:val="7"/>
          </w:tcPr>
          <w:p>
            <w:pPr>
              <w:spacing w:after="0"/>
              <w:rPr>
                <w:sz w:val="20"/>
                <w:szCs w:val="20"/>
                <w:color w:val="auto"/>
              </w:rPr>
            </w:pPr>
            <w:r>
              <w:rPr>
                <w:rFonts w:ascii="Arial" w:cs="Arial" w:eastAsia="Arial" w:hAnsi="Arial"/>
                <w:sz w:val="18"/>
                <w:szCs w:val="18"/>
                <w:color w:val="0000FF"/>
              </w:rPr>
              <w:t xml:space="preserve">Report of Registered Independent Public Accounting Firm </w:t>
            </w:r>
            <w:r>
              <w:rPr>
                <w:rFonts w:ascii="Arial" w:cs="Arial" w:eastAsia="Arial" w:hAnsi="Arial"/>
                <w:sz w:val="18"/>
                <w:szCs w:val="18"/>
                <w:color w:val="000000"/>
              </w:rPr>
              <w:t>(PCAOB ID: 185)</w:t>
            </w:r>
          </w:p>
        </w:tc>
        <w:tc>
          <w:tcPr>
            <w:tcW w:w="1300" w:type="dxa"/>
            <w:vAlign w:val="bottom"/>
          </w:tcPr>
          <w:p>
            <w:pPr>
              <w:spacing w:after="0"/>
              <w:rPr>
                <w:sz w:val="18"/>
                <w:szCs w:val="18"/>
                <w:color w:val="auto"/>
              </w:rPr>
            </w:pPr>
          </w:p>
        </w:tc>
        <w:tc>
          <w:tcPr>
            <w:tcW w:w="4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0000FF"/>
                <w:w w:val="99"/>
              </w:rPr>
              <w:t>64</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5"/>
          </w:tcPr>
          <w:p>
            <w:pPr>
              <w:spacing w:after="0"/>
              <w:rPr>
                <w:sz w:val="20"/>
                <w:szCs w:val="20"/>
                <w:color w:val="auto"/>
              </w:rPr>
            </w:pPr>
            <w:r>
              <w:rPr>
                <w:rFonts w:ascii="Arial" w:cs="Arial" w:eastAsia="Arial" w:hAnsi="Arial"/>
                <w:sz w:val="18"/>
                <w:szCs w:val="18"/>
                <w:color w:val="0000FF"/>
              </w:rPr>
              <w:t xml:space="preserve">Report of Predecessor Auditor </w:t>
            </w:r>
            <w:r>
              <w:rPr>
                <w:rFonts w:ascii="Arial" w:cs="Arial" w:eastAsia="Arial" w:hAnsi="Arial"/>
                <w:sz w:val="18"/>
                <w:szCs w:val="18"/>
                <w:color w:val="000000"/>
              </w:rPr>
              <w:t>(PCAOB ID: 42)</w:t>
            </w:r>
          </w:p>
        </w:tc>
        <w:tc>
          <w:tcPr>
            <w:tcW w:w="46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67</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0000FF"/>
                <w:w w:val="98"/>
              </w:rPr>
              <w:t>Consolidated Balance Sheets</w:t>
            </w:r>
          </w:p>
        </w:tc>
        <w:tc>
          <w:tcPr>
            <w:tcW w:w="6840" w:type="dxa"/>
            <w:vAlign w:val="bottom"/>
            <w:gridSpan w:val="6"/>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68</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gridSpan w:val="6"/>
          </w:tcPr>
          <w:p>
            <w:pPr>
              <w:spacing w:after="0"/>
              <w:rPr>
                <w:sz w:val="20"/>
                <w:szCs w:val="20"/>
                <w:color w:val="auto"/>
              </w:rPr>
            </w:pPr>
            <w:r>
              <w:rPr>
                <w:rFonts w:ascii="Arial" w:cs="Arial" w:eastAsia="Arial" w:hAnsi="Arial"/>
                <w:sz w:val="18"/>
                <w:szCs w:val="18"/>
                <w:color w:val="0000FF"/>
                <w:w w:val="99"/>
              </w:rPr>
              <w:t>Consolidated Statements of Operations and Comprehensive (loss) Income</w:t>
            </w:r>
          </w:p>
        </w:tc>
        <w:tc>
          <w:tcPr>
            <w:tcW w:w="3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69</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0000FF"/>
                <w:w w:val="99"/>
              </w:rPr>
              <w:t>Consolidated Statements of Stockholders’ Equity</w:t>
            </w:r>
          </w:p>
        </w:tc>
        <w:tc>
          <w:tcPr>
            <w:tcW w:w="2040" w:type="dxa"/>
            <w:vAlign w:val="bottom"/>
            <w:gridSpan w:val="2"/>
          </w:tcPr>
          <w:p>
            <w:pPr>
              <w:spacing w:after="0"/>
              <w:rPr>
                <w:sz w:val="18"/>
                <w:szCs w:val="18"/>
                <w:color w:val="auto"/>
              </w:rPr>
            </w:pPr>
          </w:p>
        </w:tc>
        <w:tc>
          <w:tcPr>
            <w:tcW w:w="3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70</w:t>
            </w:r>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0000FF"/>
              </w:rPr>
              <w:t>Consolidated Statements of Cash Flows</w:t>
            </w:r>
          </w:p>
        </w:tc>
        <w:tc>
          <w:tcPr>
            <w:tcW w:w="5300" w:type="dxa"/>
            <w:vAlign w:val="bottom"/>
            <w:gridSpan w:val="3"/>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gridSpan w:val="2"/>
          </w:tcPr>
          <w:p>
            <w:pPr>
              <w:jc w:val="center"/>
              <w:ind w:right="120"/>
              <w:spacing w:after="0"/>
              <w:rPr>
                <w:sz w:val="20"/>
                <w:szCs w:val="20"/>
                <w:color w:val="auto"/>
              </w:rPr>
            </w:pPr>
            <w:r>
              <w:rPr>
                <w:rFonts w:ascii="Arial" w:cs="Arial" w:eastAsia="Arial" w:hAnsi="Arial"/>
                <w:sz w:val="18"/>
                <w:szCs w:val="18"/>
                <w:color w:val="0000FF"/>
                <w:w w:val="99"/>
              </w:rPr>
              <w:t>71</w:t>
            </w:r>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1720" w:type="dxa"/>
            <w:vAlign w:val="bottom"/>
            <w:gridSpan w:val="4"/>
          </w:tcPr>
          <w:p>
            <w:pPr>
              <w:jc w:val="center"/>
              <w:ind w:left="1190"/>
              <w:spacing w:after="0"/>
              <w:rPr>
                <w:sz w:val="20"/>
                <w:szCs w:val="20"/>
                <w:color w:val="auto"/>
              </w:rPr>
            </w:pPr>
            <w:r>
              <w:rPr>
                <w:rFonts w:ascii="Arial" w:cs="Arial" w:eastAsia="Arial" w:hAnsi="Arial"/>
                <w:sz w:val="18"/>
                <w:szCs w:val="18"/>
                <w:color w:val="0000FF"/>
                <w:w w:val="99"/>
              </w:rPr>
              <w:t>73</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Marqeta, Inc. and subsidiaries (the Company) as of December 31, 2025 and 2024, the related consolidated statements of operations and comprehensive (loss) income, stockholders’ equity, and cash flows for each of the years in the two-year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years in the two-year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acquired Transact Payments Limited (collectively, with their affiliates "TransactPay”) during 2025, and management excluded from its assessment of the effectiveness of the Company’s internal control over financial reporting as of December 31, 2025, approximately 25% of the Company’s consolidated total assets and 1% of consolidated net revenues included in the consolidated financial statements of the Company as of and for the year ended December 31, 2025. Our audit of internal control over financial reporting of the Company also excluded an evaluation of the internal control over financial reporting of TransactPay.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for Opinions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Audit Matter</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Revenue share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2025, the Company’s net revenue was $624.9 million. As described in Note 2 to the consolidated financial statements, the Company's contracts with customers typically include provisions under which the Company shares a portion of interchange fees as consideration payable to its customers, referred to as revenue share. Revenue share payments are incentives to customers to increase their processing volume on the Company’s platform and is computed as a percentage of the interchange fees earned or processing volume and is paid to customers monthly. Revenue share is recorded as a reduction to net revenue in the consolidated statements of operations and comprehensive (loss) income.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identified the evaluation of revenue share amounts as a critical audit matter. The computation of revenue share amounts involved complexity, specifically the identification and evaluation of multiple data elements which can vary across different customer contracts and require manual processing given the underlying contract’s non-standard nature which impacted the extent of audit effort.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300" w:hanging="320"/>
        <w:spacing w:after="0" w:line="268"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evaluated the design and tested the operating effectiveness of certain internal controls related to the review of the Company’s revenue share calculation, including evaluating the completeness and accuracy of data elements used in the performance of this control.</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 sample of monthly net revenue amounts recorded by customer, we independently evaluated the computation of revenue share applied in the calculation of net revenue by agreeing relevant data elements to contractual terms within executed contracts and other internal source documents detailing processing volume and fees resulting from interchange and issuing banks. We compared the result of our independently evaluated net revenue amounts to the amounts recorded by the Company.</w:t>
      </w:r>
    </w:p>
    <w:p>
      <w:pPr>
        <w:spacing w:after="0" w:line="206" w:lineRule="exact"/>
        <w:rPr>
          <w:rFonts w:ascii="Arial" w:cs="Arial" w:eastAsia="Arial" w:hAnsi="Arial"/>
          <w:sz w:val="18"/>
          <w:szCs w:val="18"/>
          <w:color w:val="auto"/>
        </w:rPr>
      </w:pPr>
    </w:p>
    <w:p>
      <w:pPr>
        <w:jc w:val="both"/>
        <w:ind w:left="1300" w:hanging="320"/>
        <w:spacing w:after="0" w:line="268"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 further selection of December monthly net revenue amounts recorded by customer, we reviewed the Company’s computation of revenue share and resulting net revenue and agreed relevant data elements to contractual terms within executed contracts and other relevant internal source documents.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ind w:left="100"/>
        <w:spacing w:after="0" w:line="262" w:lineRule="auto"/>
        <w:rPr>
          <w:sz w:val="20"/>
          <w:szCs w:val="20"/>
          <w:color w:val="auto"/>
        </w:rPr>
      </w:pPr>
      <w:r>
        <w:rPr>
          <w:rFonts w:ascii="Arial" w:cs="Arial" w:eastAsia="Arial" w:hAnsi="Arial"/>
          <w:sz w:val="18"/>
          <w:szCs w:val="18"/>
          <w:color w:val="auto"/>
        </w:rPr>
        <w:t>We have audited the consolidated statement of operations and comprehensive (loss) income, stockholders’ equity and cash flows of Marqeta, Inc. (the Company) for the period ended December 31, 2023, and the related notes</w:t>
      </w:r>
      <w:r>
        <w:rPr>
          <w:sz w:val="1"/>
          <w:szCs w:val="1"/>
          <w:color w:val="auto"/>
        </w:rPr>
        <w:drawing>
          <wp:inline distT="0" distB="0" distL="0" distR="0">
            <wp:extent cx="17145" cy="857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Arial" w:cs="Arial" w:eastAsia="Arial" w:hAnsi="Arial"/>
          <w:sz w:val="18"/>
          <w:szCs w:val="18"/>
          <w:color w:val="auto"/>
        </w:rPr>
        <w:t>(collectively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left="100" w:right="4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left="100" w:right="60"/>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served as the Company’s auditor from 2018 to 2024.</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 Mateo, California</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February 28, 2024,</w:t>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except for Note 17, as to which the date is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20" w:top="125" w:right="41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923,016</w:t>
            </w:r>
          </w:p>
        </w:tc>
      </w:tr>
      <w:tr>
        <w:trPr>
          <w:trHeight w:val="215"/>
        </w:trPr>
        <w:tc>
          <w:tcPr>
            <w:tcW w:w="832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44"/>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investments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179,409</w:t>
            </w:r>
          </w:p>
        </w:tc>
      </w:tr>
      <w:tr>
        <w:trPr>
          <w:trHeight w:val="215"/>
        </w:trPr>
        <w:tc>
          <w:tcPr>
            <w:tcW w:w="832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29,988</w:t>
            </w:r>
          </w:p>
        </w:tc>
      </w:tr>
      <w:tr>
        <w:trPr>
          <w:trHeight w:val="217"/>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 receivable,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16,203</w:t>
            </w:r>
          </w:p>
        </w:tc>
      </w:tr>
      <w:tr>
        <w:trPr>
          <w:trHeight w:val="242"/>
        </w:trPr>
        <w:tc>
          <w:tcPr>
            <w:tcW w:w="8320" w:type="dxa"/>
            <w:vAlign w:val="bottom"/>
          </w:tcPr>
          <w:p>
            <w:pPr>
              <w:ind w:left="140"/>
              <w:spacing w:after="0"/>
              <w:rPr>
                <w:sz w:val="20"/>
                <w:szCs w:val="20"/>
                <w:color w:val="auto"/>
              </w:rPr>
            </w:pPr>
            <w:r>
              <w:rPr>
                <w:rFonts w:ascii="Arial" w:cs="Arial" w:eastAsia="Arial" w:hAnsi="Arial"/>
                <w:sz w:val="16"/>
                <w:szCs w:val="16"/>
                <w:color w:val="auto"/>
              </w:rPr>
              <w:t>Network incentives receivable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66,776</w:t>
            </w:r>
          </w:p>
        </w:tc>
      </w:tr>
      <w:tr>
        <w:trPr>
          <w:trHeight w:val="217"/>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25,405</w:t>
            </w:r>
          </w:p>
        </w:tc>
      </w:tr>
      <w:tr>
        <w:trPr>
          <w:trHeight w:val="209"/>
        </w:trPr>
        <w:tc>
          <w:tcPr>
            <w:tcW w:w="83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1,235,315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1,249,297</w:t>
            </w: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37,523</w:t>
            </w: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29,774</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154,706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123,523</w:t>
            </w: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20,375</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1,525,033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1,463,204</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5"/>
        </w:trPr>
        <w:tc>
          <w:tcPr>
            <w:tcW w:w="8320" w:type="dxa"/>
            <w:vAlign w:val="bottom"/>
          </w:tcPr>
          <w:p>
            <w:pPr>
              <w:ind w:left="140"/>
              <w:spacing w:after="0"/>
              <w:rPr>
                <w:sz w:val="20"/>
                <w:szCs w:val="20"/>
                <w:color w:val="auto"/>
              </w:rPr>
            </w:pPr>
            <w:r>
              <w:rPr>
                <w:rFonts w:ascii="Arial" w:cs="Arial" w:eastAsia="Arial" w:hAnsi="Arial"/>
                <w:sz w:val="16"/>
                <w:szCs w:val="16"/>
                <w:color w:val="auto"/>
              </w:rPr>
              <w:t>Revenue share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224,526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193,399</w:t>
            </w:r>
          </w:p>
        </w:tc>
      </w:tr>
      <w:tr>
        <w:trPr>
          <w:trHeight w:val="217"/>
        </w:trPr>
        <w:tc>
          <w:tcPr>
            <w:tcW w:w="8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Funds payable and amounts due to customers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177,059</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370,985</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r>
      <w:tr>
        <w:trPr>
          <w:trHeight w:val="20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763,076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378,186</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5"/>
        </w:trPr>
        <w:tc>
          <w:tcPr>
            <w:tcW w:w="83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$0.0001 par value; 100,000 and 100,000 shares authorized, no shares issued and outstanding as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4"/>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December 31, 2025 and December 31, 2024, respectively</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8320" w:type="dxa"/>
            <w:vAlign w:val="bottom"/>
          </w:tcPr>
          <w:p>
            <w:pPr>
              <w:ind w:left="20"/>
              <w:spacing w:after="0"/>
              <w:rPr>
                <w:sz w:val="20"/>
                <w:szCs w:val="20"/>
                <w:color w:val="auto"/>
              </w:rPr>
            </w:pPr>
            <w:r>
              <w:rPr>
                <w:rFonts w:ascii="Arial" w:cs="Arial" w:eastAsia="Arial" w:hAnsi="Arial"/>
                <w:sz w:val="16"/>
                <w:szCs w:val="16"/>
                <w:color w:val="auto"/>
              </w:rPr>
              <w:t>Common stock, $0.0001 par value: 1,500,000 and 1,500,000 Class A shares authorized, 399,392 and 470,824</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320" w:type="dxa"/>
            <w:vAlign w:val="bottom"/>
          </w:tcPr>
          <w:p>
            <w:pPr>
              <w:ind w:left="20"/>
              <w:spacing w:after="0"/>
              <w:rPr>
                <w:sz w:val="20"/>
                <w:szCs w:val="20"/>
                <w:color w:val="auto"/>
              </w:rPr>
            </w:pPr>
            <w:r>
              <w:rPr>
                <w:rFonts w:ascii="Arial" w:cs="Arial" w:eastAsia="Arial" w:hAnsi="Arial"/>
                <w:sz w:val="16"/>
                <w:szCs w:val="16"/>
                <w:color w:val="auto"/>
              </w:rPr>
              <w:t>shares issued and outstanding as of December 31, 2025 and December 31, 2024, respectively. 600,000 and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8320" w:type="dxa"/>
            <w:vAlign w:val="bottom"/>
          </w:tcPr>
          <w:p>
            <w:pPr>
              <w:ind w:left="20"/>
              <w:spacing w:after="0"/>
              <w:rPr>
                <w:sz w:val="20"/>
                <w:szCs w:val="20"/>
                <w:color w:val="auto"/>
              </w:rPr>
            </w:pPr>
            <w:r>
              <w:rPr>
                <w:rFonts w:ascii="Arial" w:cs="Arial" w:eastAsia="Arial" w:hAnsi="Arial"/>
                <w:sz w:val="16"/>
                <w:szCs w:val="16"/>
                <w:color w:val="auto"/>
              </w:rPr>
              <w:t>600,000 Class B shares authorized, 32,864 and 33,472 shares issued and outstanding as of December 31, 2025</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6"/>
                <w:szCs w:val="16"/>
                <w:color w:val="auto"/>
              </w:rPr>
              <w:t>and December 31, 2024, respectively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1,883,190</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(797,908)</w:t>
            </w:r>
          </w:p>
        </w:tc>
      </w:tr>
      <w:tr>
        <w:trPr>
          <w:trHeight w:val="20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761,957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1,085,018</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1,525,033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1,463,204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676,171</w:t>
            </w:r>
          </w:p>
        </w:tc>
      </w:tr>
      <w:tr>
        <w:trPr>
          <w:trHeight w:val="21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Costs of revenue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155,146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346,657</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329,514</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Operating expenses (benefit):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benefits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446,381</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55,612</w:t>
            </w: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21,679</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Occupancy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4,361</w:t>
            </w: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10,741</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Marketing and advertising</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2,566</w:t>
            </w: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17,975</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Executive chairman long-term performance award</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(144,617)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53,214</w:t>
            </w: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483,702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376,315</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612,529</w:t>
            </w:r>
          </w:p>
        </w:tc>
      </w:tr>
      <w:tr>
        <w:trPr>
          <w:trHeight w:val="209"/>
        </w:trPr>
        <w:tc>
          <w:tcPr>
            <w:tcW w:w="66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(46,430)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(24,466)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(283,015)</w:t>
            </w: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52,546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52,440</w:t>
            </w:r>
          </w:p>
        </w:tc>
      </w:tr>
      <w:tr>
        <w:trPr>
          <w:trHeight w:val="209"/>
        </w:trPr>
        <w:tc>
          <w:tcPr>
            <w:tcW w:w="6640" w:type="dxa"/>
            <w:vAlign w:val="bottom"/>
          </w:tcPr>
          <w:p>
            <w:pPr>
              <w:ind w:left="20"/>
              <w:spacing w:after="0"/>
              <w:rPr>
                <w:sz w:val="20"/>
                <w:szCs w:val="20"/>
                <w:color w:val="auto"/>
              </w:rPr>
            </w:pPr>
            <w:r>
              <w:rPr>
                <w:rFonts w:ascii="Arial" w:cs="Arial" w:eastAsia="Arial" w:hAnsi="Arial"/>
                <w:sz w:val="16"/>
                <w:szCs w:val="16"/>
                <w:color w:val="auto"/>
              </w:rPr>
              <w:t>(Loss) income before income tax expense (benefit)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(230,575)</w:t>
            </w: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(7,613)</w:t>
            </w:r>
          </w:p>
        </w:tc>
      </w:tr>
      <w:tr>
        <w:trPr>
          <w:trHeight w:val="20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(222,962)</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27,287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(222,962)</w:t>
            </w:r>
          </w:p>
        </w:tc>
      </w:tr>
      <w:tr>
        <w:trPr>
          <w:trHeight w:val="195"/>
        </w:trPr>
        <w:tc>
          <w:tcPr>
            <w:tcW w:w="66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change in unrealized (loss) gain on short-term investments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8,039</w:t>
            </w: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other comprehensive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7,999</w:t>
            </w: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(214,963)</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62"/>
        </w:trPr>
        <w:tc>
          <w:tcPr>
            <w:tcW w:w="66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Net (loss) income per share attributable to Class A and Class B common</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stockholders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163"/>
        </w:trPr>
        <w:tc>
          <w:tcPr>
            <w:tcW w:w="66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b w:val="1"/>
                <w:bCs w:val="1"/>
                <w:color w:val="auto"/>
              </w:rPr>
              <w:t>Weighted-average shares used in computing net (loss) income per share attributable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 Class A and Class B common stockholders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511,065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532,540</w:t>
            </w: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462,168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532,540</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(in thousands)</w:t>
      </w:r>
    </w:p>
    <w:p>
      <w:pPr>
        <w:spacing w:after="0" w:line="154"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ind w:left="36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9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5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restart"/>
          </w:tcPr>
          <w:p>
            <w:pPr>
              <w:jc w:val="center"/>
              <w:ind w:right="160"/>
              <w:spacing w:after="0" w:line="122" w:lineRule="exact"/>
              <w:rPr>
                <w:sz w:val="20"/>
                <w:szCs w:val="20"/>
                <w:color w:val="auto"/>
              </w:rPr>
            </w:pPr>
            <w:r>
              <w:rPr>
                <w:rFonts w:ascii="Arial" w:cs="Arial" w:eastAsia="Arial" w:hAnsi="Arial"/>
                <w:sz w:val="11"/>
                <w:szCs w:val="11"/>
                <w:b w:val="1"/>
                <w:bCs w:val="1"/>
                <w:color w:val="auto"/>
                <w:w w:val="98"/>
              </w:rPr>
              <w:t>Paid-in</w:t>
            </w:r>
          </w:p>
        </w:tc>
        <w:tc>
          <w:tcPr>
            <w:tcW w:w="940" w:type="dxa"/>
            <w:vAlign w:val="bottom"/>
            <w:gridSpan w:val="3"/>
            <w:vMerge w:val="restart"/>
          </w:tcPr>
          <w:p>
            <w:pPr>
              <w:ind w:left="20"/>
              <w:spacing w:after="0" w:line="122" w:lineRule="exact"/>
              <w:rPr>
                <w:sz w:val="20"/>
                <w:szCs w:val="20"/>
                <w:color w:val="auto"/>
              </w:rPr>
            </w:pPr>
            <w:r>
              <w:rPr>
                <w:rFonts w:ascii="Arial" w:cs="Arial" w:eastAsia="Arial" w:hAnsi="Arial"/>
                <w:sz w:val="11"/>
                <w:szCs w:val="11"/>
                <w:b w:val="1"/>
                <w:bCs w:val="1"/>
                <w:color w:val="auto"/>
              </w:rPr>
              <w:t>Comprehensive</w:t>
            </w: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Accumulated</w:t>
            </w:r>
          </w:p>
        </w:tc>
        <w:tc>
          <w:tcPr>
            <w:tcW w:w="7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48"/>
        </w:trPr>
        <w:tc>
          <w:tcPr>
            <w:tcW w:w="54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4"/>
                <w:szCs w:val="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Capital</w:t>
            </w:r>
          </w:p>
        </w:tc>
        <w:tc>
          <w:tcPr>
            <w:tcW w:w="9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8"/>
              </w:rPr>
              <w:t>Income (loss)</w:t>
            </w:r>
          </w:p>
        </w:tc>
        <w:tc>
          <w:tcPr>
            <w:tcW w:w="1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January 1, 2023</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541,364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2,082,373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(602,233)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1,472,956</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3,353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5,399</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 of early exercised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792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3,066</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common stock upon net settlement of restricted stock units</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9,347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(26,661)</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Vesting of common stock warrants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8,715</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132,017</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Executive chairman long-term performance award</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53,214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53,214</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 and retirement of common stock, including excise tax</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(190,345)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(190,348)</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Change in accumulated other comprehensive income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7,999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7,999</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(222,962)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(222,962)</w:t>
            </w:r>
          </w:p>
        </w:tc>
        <w:tc>
          <w:tcPr>
            <w:tcW w:w="0" w:type="dxa"/>
            <w:vAlign w:val="bottom"/>
          </w:tcPr>
          <w:p>
            <w:pPr>
              <w:spacing w:after="0"/>
              <w:rPr>
                <w:sz w:val="1"/>
                <w:szCs w:val="1"/>
                <w:color w:val="auto"/>
              </w:rPr>
            </w:pPr>
          </w:p>
        </w:tc>
      </w:tr>
      <w:tr>
        <w:trPr>
          <w:trHeight w:val="181"/>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Balance as of December 31, 2023</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520,343</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52</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2,067,776</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762</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(825,195)</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1,243,395</w:t>
            </w:r>
          </w:p>
        </w:tc>
        <w:tc>
          <w:tcPr>
            <w:tcW w:w="0" w:type="dxa"/>
            <w:vAlign w:val="bottom"/>
          </w:tcPr>
          <w:p>
            <w:pPr>
              <w:spacing w:after="0"/>
              <w:rPr>
                <w:sz w:val="1"/>
                <w:szCs w:val="1"/>
                <w:color w:val="auto"/>
              </w:rPr>
            </w:pPr>
          </w:p>
        </w:tc>
      </w:tr>
      <w:tr>
        <w:trPr>
          <w:trHeight w:val="184"/>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2,715</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common stock upon net settlement of restricted stock units</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11,505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(35,407)</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Vesting of common stock warrants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2,422</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143,621</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Executive chairman long-term performance award</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(144,617)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(144,617)</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 and retirement of common stock, including excise tax</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(153,525)</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Change in accumulated other comprehensive income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(1,076)</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27,287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27,287</w:t>
            </w:r>
          </w:p>
        </w:tc>
        <w:tc>
          <w:tcPr>
            <w:tcW w:w="0" w:type="dxa"/>
            <w:vAlign w:val="bottom"/>
          </w:tcPr>
          <w:p>
            <w:pPr>
              <w:spacing w:after="0"/>
              <w:rPr>
                <w:sz w:val="1"/>
                <w:szCs w:val="1"/>
                <w:color w:val="auto"/>
              </w:rPr>
            </w:pPr>
          </w:p>
        </w:tc>
      </w:tr>
      <w:tr>
        <w:trPr>
          <w:trHeight w:val="155"/>
        </w:trPr>
        <w:tc>
          <w:tcPr>
            <w:tcW w:w="550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as of December 31, 2024</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504,296</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50</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1,883,190</w:t>
            </w:r>
          </w:p>
        </w:tc>
        <w:tc>
          <w:tcPr>
            <w:tcW w:w="80" w:type="dxa"/>
            <w:vAlign w:val="bottom"/>
          </w:tcPr>
          <w:p>
            <w:pPr>
              <w:spacing w:after="0"/>
              <w:rPr>
                <w:sz w:val="13"/>
                <w:szCs w:val="13"/>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(314)</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(797,908)</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1,085,018</w:t>
            </w:r>
          </w:p>
        </w:tc>
        <w:tc>
          <w:tcPr>
            <w:tcW w:w="0" w:type="dxa"/>
            <w:vAlign w:val="bottom"/>
          </w:tcPr>
          <w:p>
            <w:pPr>
              <w:spacing w:after="0"/>
              <w:rPr>
                <w:sz w:val="1"/>
                <w:szCs w:val="1"/>
                <w:color w:val="auto"/>
              </w:rPr>
            </w:pPr>
          </w:p>
        </w:tc>
      </w:tr>
      <w:tr>
        <w:trPr>
          <w:trHeight w:val="45"/>
        </w:trPr>
        <w:tc>
          <w:tcPr>
            <w:tcW w:w="5420" w:type="dxa"/>
            <w:vAlign w:val="bottom"/>
            <w:tcBorders>
              <w:bottom w:val="single" w:sz="8" w:color="CCEEFF"/>
            </w:tcBorders>
          </w:tcPr>
          <w:p>
            <w:pPr>
              <w:spacing w:after="0"/>
              <w:rPr>
                <w:sz w:val="3"/>
                <w:szCs w:val="3"/>
                <w:color w:val="auto"/>
              </w:rPr>
            </w:pPr>
          </w:p>
        </w:tc>
        <w:tc>
          <w:tcPr>
            <w:tcW w:w="80" w:type="dxa"/>
            <w:vAlign w:val="bottom"/>
            <w:tcBorders>
              <w:top w:val="single" w:sz="8" w:color="auto"/>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506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1,663</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1,663</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2,101</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common stock upon net settlement of restricted stock units</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11,544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(36,973)</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upon exercise of common stock warrants</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Vesting of common stock warrants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Share-based compensation expense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115,964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115,964</w:t>
            </w:r>
          </w:p>
        </w:tc>
        <w:tc>
          <w:tcPr>
            <w:tcW w:w="0" w:type="dxa"/>
            <w:vAlign w:val="bottom"/>
          </w:tcPr>
          <w:p>
            <w:pPr>
              <w:spacing w:after="0"/>
              <w:rPr>
                <w:sz w:val="1"/>
                <w:szCs w:val="1"/>
                <w:color w:val="auto"/>
              </w:rPr>
            </w:pPr>
          </w:p>
        </w:tc>
      </w:tr>
      <w:tr>
        <w:trPr>
          <w:trHeight w:val="19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 and retirement of common stock, including excise tax</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(84,793)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(393,958)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(393,966)</w:t>
            </w:r>
          </w:p>
        </w:tc>
        <w:tc>
          <w:tcPr>
            <w:tcW w:w="0" w:type="dxa"/>
            <w:vAlign w:val="bottom"/>
          </w:tcPr>
          <w:p>
            <w:pPr>
              <w:spacing w:after="0"/>
              <w:rPr>
                <w:sz w:val="1"/>
                <w:szCs w:val="1"/>
                <w:color w:val="auto"/>
              </w:rPr>
            </w:pPr>
          </w:p>
        </w:tc>
      </w:tr>
      <w:tr>
        <w:trPr>
          <w:trHeight w:val="183"/>
        </w:trPr>
        <w:tc>
          <w:tcPr>
            <w:tcW w:w="5500" w:type="dxa"/>
            <w:vAlign w:val="bottom"/>
            <w:gridSpan w:val="2"/>
          </w:tcPr>
          <w:p>
            <w:pPr>
              <w:ind w:left="20"/>
              <w:spacing w:after="0"/>
              <w:rPr>
                <w:sz w:val="20"/>
                <w:szCs w:val="20"/>
                <w:color w:val="auto"/>
              </w:rPr>
            </w:pPr>
            <w:r>
              <w:rPr>
                <w:rFonts w:ascii="Arial" w:cs="Arial" w:eastAsia="Arial" w:hAnsi="Arial"/>
                <w:sz w:val="13"/>
                <w:szCs w:val="13"/>
                <w:color w:val="auto"/>
              </w:rPr>
              <w:t>Change in accumulated other comprehensive income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1,823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1,823</w:t>
            </w: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(13,925)</w:t>
            </w:r>
          </w:p>
        </w:tc>
        <w:tc>
          <w:tcPr>
            <w:tcW w:w="0" w:type="dxa"/>
            <w:vAlign w:val="bottom"/>
          </w:tcPr>
          <w:p>
            <w:pPr>
              <w:spacing w:after="0"/>
              <w:rPr>
                <w:sz w:val="1"/>
                <w:szCs w:val="1"/>
                <w:color w:val="auto"/>
              </w:rPr>
            </w:pPr>
          </w:p>
        </w:tc>
      </w:tr>
      <w:tr>
        <w:trPr>
          <w:trHeight w:val="188"/>
        </w:trPr>
        <w:tc>
          <w:tcPr>
            <w:tcW w:w="550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as of December 31, 2025</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432,256</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1,572,238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1,509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(811,833)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761,957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8"/>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2023</w:t>
            </w:r>
          </w:p>
        </w:tc>
      </w:tr>
      <w:tr>
        <w:trPr>
          <w:trHeight w:val="157"/>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(13,925)</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27,287</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(222,962)</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104,788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136,562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127,525</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10,741</w:t>
            </w: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Non-cash operating leases expense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2,266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2,527</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premium on short-term investments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(4,495)</w:t>
            </w: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Executive chairman long-term performance award</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(144,617)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53,214</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postcombination compensation expense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32,430</w:t>
            </w: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Other</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558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736</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668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(8,864)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(11,202)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(4,556)</w:t>
            </w:r>
          </w:p>
        </w:tc>
      </w:tr>
      <w:tr>
        <w:trPr>
          <w:trHeight w:val="180"/>
        </w:trPr>
        <w:tc>
          <w:tcPr>
            <w:tcW w:w="6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Settlements receivable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(11,894)</w:t>
            </w:r>
          </w:p>
        </w:tc>
      </w:tr>
      <w:tr>
        <w:trPr>
          <w:trHeight w:val="171"/>
        </w:trPr>
        <w:tc>
          <w:tcPr>
            <w:tcW w:w="6680" w:type="dxa"/>
            <w:vAlign w:val="bottom"/>
          </w:tcPr>
          <w:p>
            <w:pPr>
              <w:ind w:left="240"/>
              <w:spacing w:after="0"/>
              <w:rPr>
                <w:sz w:val="20"/>
                <w:szCs w:val="20"/>
                <w:color w:val="auto"/>
              </w:rPr>
            </w:pPr>
            <w:r>
              <w:rPr>
                <w:rFonts w:ascii="Arial" w:cs="Arial" w:eastAsia="Arial" w:hAnsi="Arial"/>
                <w:sz w:val="13"/>
                <w:szCs w:val="13"/>
                <w:color w:val="auto"/>
              </w:rPr>
              <w:t>Network incentives receivable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(12,969)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(11,146)</w:t>
            </w:r>
          </w:p>
        </w:tc>
      </w:tr>
      <w:tr>
        <w:trPr>
          <w:trHeight w:val="180"/>
        </w:trPr>
        <w:tc>
          <w:tcPr>
            <w:tcW w:w="6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 and other 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7,900</w:t>
            </w:r>
          </w:p>
        </w:tc>
      </w:tr>
      <w:tr>
        <w:trPr>
          <w:trHeight w:val="171"/>
        </w:trPr>
        <w:tc>
          <w:tcPr>
            <w:tcW w:w="668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(1,956)</w:t>
            </w:r>
          </w:p>
        </w:tc>
      </w:tr>
      <w:tr>
        <w:trPr>
          <w:trHeight w:val="180"/>
        </w:trPr>
        <w:tc>
          <w:tcPr>
            <w:tcW w:w="6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Revenue share payable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31,451</w:t>
            </w:r>
          </w:p>
        </w:tc>
      </w:tr>
      <w:tr>
        <w:trPr>
          <w:trHeight w:val="171"/>
        </w:trPr>
        <w:tc>
          <w:tcPr>
            <w:tcW w:w="6680" w:type="dxa"/>
            <w:vAlign w:val="bottom"/>
          </w:tcPr>
          <w:p>
            <w:pPr>
              <w:ind w:left="240"/>
              <w:spacing w:after="0"/>
              <w:rPr>
                <w:sz w:val="20"/>
                <w:szCs w:val="20"/>
                <w:color w:val="auto"/>
              </w:rPr>
            </w:pPr>
            <w:r>
              <w:rPr>
                <w:rFonts w:ascii="Arial" w:cs="Arial" w:eastAsia="Arial" w:hAnsi="Arial"/>
                <w:sz w:val="13"/>
                <w:szCs w:val="13"/>
                <w:color w:val="auto"/>
              </w:rPr>
              <w:t>Accrued expenses and other liabilities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22,710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15,112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14,983</w:t>
            </w:r>
          </w:p>
        </w:tc>
      </w:tr>
      <w:tr>
        <w:trPr>
          <w:trHeight w:val="180"/>
        </w:trPr>
        <w:tc>
          <w:tcPr>
            <w:tcW w:w="6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w:t>
            </w:r>
          </w:p>
        </w:tc>
      </w:tr>
      <w:tr>
        <w:trPr>
          <w:trHeight w:val="164"/>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162,623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58,170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21,104</w:t>
            </w:r>
          </w:p>
        </w:tc>
      </w:tr>
      <w:tr>
        <w:trPr>
          <w:trHeight w:val="16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Restricted cash acquired in business combination</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229,650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Maturities of short-term investments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501,534</w:t>
            </w: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Cash paid for business acquisition, net of cash acquired</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(45,663)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(135,777)</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Capitalization of internal-use software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(11,889)</w:t>
            </w: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Purchases of short-term investments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(3,501)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(892,430)</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w:t>
            </w: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Sales of short-term investments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577,934</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loss on investments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64"/>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investing activities</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271,111</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70,788</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38,516</w:t>
            </w:r>
          </w:p>
        </w:tc>
      </w:tr>
      <w:tr>
        <w:trPr>
          <w:trHeight w:val="16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Repurchase of common stock</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(391,366)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(154,425)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(190,420)</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Taxes paid related to net share settlement of restricted stock units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(36,973)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(26,662)</w:t>
            </w:r>
          </w:p>
        </w:tc>
      </w:tr>
      <w:tr>
        <w:trPr>
          <w:trHeight w:val="171"/>
        </w:trPr>
        <w:tc>
          <w:tcPr>
            <w:tcW w:w="6680" w:type="dxa"/>
            <w:vAlign w:val="bottom"/>
          </w:tcPr>
          <w:p>
            <w:pPr>
              <w:ind w:left="20"/>
              <w:spacing w:after="0"/>
              <w:rPr>
                <w:sz w:val="20"/>
                <w:szCs w:val="20"/>
                <w:color w:val="auto"/>
              </w:rPr>
            </w:pPr>
            <w:r>
              <w:rPr>
                <w:rFonts w:ascii="Arial" w:cs="Arial" w:eastAsia="Arial" w:hAnsi="Arial"/>
                <w:sz w:val="13"/>
                <w:szCs w:val="13"/>
                <w:color w:val="auto"/>
              </w:rPr>
              <w:t>Change in funds payable and amounts due to customers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77,256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shares issued in connection with employee stock purchase plan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3,066</w:t>
            </w:r>
          </w:p>
        </w:tc>
      </w:tr>
      <w:tr>
        <w:trPr>
          <w:trHeight w:val="121"/>
        </w:trPr>
        <w:tc>
          <w:tcPr>
            <w:tcW w:w="6680" w:type="dxa"/>
            <w:vAlign w:val="bottom"/>
          </w:tcPr>
          <w:p>
            <w:pPr>
              <w:ind w:left="20"/>
              <w:spacing w:after="0" w:line="122" w:lineRule="exact"/>
              <w:rPr>
                <w:sz w:val="20"/>
                <w:szCs w:val="20"/>
                <w:color w:val="auto"/>
              </w:rPr>
            </w:pPr>
            <w:r>
              <w:rPr>
                <w:rFonts w:ascii="Arial" w:cs="Arial" w:eastAsia="Arial" w:hAnsi="Arial"/>
                <w:sz w:val="13"/>
                <w:szCs w:val="13"/>
                <w:color w:val="auto"/>
                <w:w w:val="98"/>
              </w:rPr>
              <w:t>Proceeds from exercise of stock options, including early exercised stock options, net of repurchase of early exercised</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82"/>
        </w:trPr>
        <w:tc>
          <w:tcPr>
            <w:tcW w:w="6680" w:type="dxa"/>
            <w:vAlign w:val="bottom"/>
          </w:tcPr>
          <w:p>
            <w:pPr>
              <w:ind w:left="20"/>
              <w:spacing w:after="0"/>
              <w:rPr>
                <w:sz w:val="20"/>
                <w:szCs w:val="20"/>
                <w:color w:val="auto"/>
              </w:rPr>
            </w:pPr>
            <w:r>
              <w:rPr>
                <w:rFonts w:ascii="Arial" w:cs="Arial" w:eastAsia="Arial" w:hAnsi="Arial"/>
                <w:sz w:val="13"/>
                <w:szCs w:val="13"/>
                <w:color w:val="auto"/>
              </w:rPr>
              <w:t>unvested options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1,663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5,289</w:t>
            </w:r>
          </w:p>
        </w:tc>
      </w:tr>
      <w:tr>
        <w:trPr>
          <w:trHeight w:val="183"/>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acquisition-related contingent consideration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(53,067)</w:t>
            </w:r>
          </w:p>
        </w:tc>
      </w:tr>
      <w:tr>
        <w:trPr>
          <w:trHeight w:val="164"/>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financing activities</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(347,319)</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(186,914)</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(261,794)</w:t>
            </w:r>
          </w:p>
        </w:tc>
      </w:tr>
      <w:tr>
        <w:trPr>
          <w:trHeight w:val="174"/>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cash, cash equivalents, and restricted cash</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(202,174)</w:t>
            </w:r>
          </w:p>
        </w:tc>
      </w:tr>
      <w:tr>
        <w:trPr>
          <w:trHeight w:val="171"/>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 Beginning of period</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931,516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989,472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1,191,646</w:t>
            </w:r>
          </w:p>
        </w:tc>
      </w:tr>
      <w:tr>
        <w:trPr>
          <w:trHeight w:val="19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 End of period</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1,017,931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931,516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989,472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r>
        <w:rPr>
          <w:rFonts w:ascii="Arial" w:cs="Arial" w:eastAsia="Arial" w:hAnsi="Arial"/>
          <w:sz w:val="19"/>
          <w:szCs w:val="19"/>
          <w:b w:val="1"/>
          <w:bCs w:val="1"/>
          <w:color w:val="auto"/>
        </w:rPr>
        <w: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709,443</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923,016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980,972</w:t>
            </w: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307,593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19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1,017,931</w:t>
            </w:r>
          </w:p>
        </w:tc>
        <w:tc>
          <w:tcPr>
            <w:tcW w:w="48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989,472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80" w:type="dxa"/>
            <w:vAlign w:val="bottom"/>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operating lease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4,995</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595</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rPr>
                <w:sz w:val="20"/>
                <w:szCs w:val="20"/>
                <w:color w:val="auto"/>
              </w:rPr>
            </w:pPr>
            <w:r>
              <w:rPr>
                <w:rFonts w:ascii="Arial" w:cs="Arial" w:eastAsia="Arial" w:hAnsi="Arial"/>
                <w:sz w:val="14"/>
                <w:szCs w:val="14"/>
                <w:color w:val="auto"/>
              </w:rPr>
              <w:t>Share-based compensation capitalized to internal-use software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11,176</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7,059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4,492</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and holdback considerations, not yet paid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6,030</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tcPr>
          <w:p>
            <w:pPr>
              <w:ind w:left="20"/>
              <w:spacing w:after="0"/>
              <w:rPr>
                <w:sz w:val="20"/>
                <w:szCs w:val="20"/>
                <w:color w:val="auto"/>
              </w:rPr>
            </w:pPr>
            <w:r>
              <w:rPr>
                <w:rFonts w:ascii="Arial" w:cs="Arial" w:eastAsia="Arial" w:hAnsi="Arial"/>
                <w:sz w:val="14"/>
                <w:szCs w:val="14"/>
                <w:color w:val="auto"/>
              </w:rPr>
              <w:t>Operating lease right-of-use assets in exchange for lease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5,345</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common stock, including excise tax, accrued and not yet paid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tcPr>
          <w:p>
            <w:pPr>
              <w:ind w:left="20"/>
              <w:spacing w:after="0"/>
              <w:rPr>
                <w:sz w:val="20"/>
                <w:szCs w:val="20"/>
                <w:color w:val="auto"/>
              </w:rPr>
            </w:pPr>
            <w:r>
              <w:rPr>
                <w:rFonts w:ascii="Arial" w:cs="Arial" w:eastAsia="Arial" w:hAnsi="Arial"/>
                <w:sz w:val="14"/>
                <w:szCs w:val="14"/>
                <w:color w:val="auto"/>
              </w:rPr>
              <w:t>Purchase of property and equipment accrued and not yet paid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1,192</w:t>
            </w:r>
          </w:p>
        </w:tc>
        <w:tc>
          <w:tcPr>
            <w:tcW w:w="48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2,129</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and Basis of Presentation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Marqeta, Inc. (“the Company”) was incorporated in the state of Delaware in 2010 and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primarily earns revenue from processing card transactions for its customers.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subsidiaries, have been prepared in conformity with U.S. Generally Accepted Accounting Principles (“GAAP”). All intercompany balances and transactions have been eliminated in consolidation.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cumulative network incentive rate the Company expects to earn during the annual measurement period, and valuation of income taxes. Actual results could differ materially from these estimates.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 and Uncertainties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net losses except for the year ended December 31, 2024, during which it reported net income of $27.3 million, which was primarily due to the forfeiture of the Executive Chairman Long-Term Incentive Award. For the year ended December 31, 2025, the Company incurred a net loss of $13.9 million, resulting in an accumulated deficit of $811.8 million as of December 31, 2025. The Company believes that its cash and cash equivalents of $709.4 million and short-term investments of $62.5 million as of December 31, 2025 are sufficient to fund its operations through at least the next twelve months from the issuance of these financial statements.</w:t>
      </w:r>
    </w:p>
    <w:p>
      <w:pPr>
        <w:spacing w:after="0" w:line="287" w:lineRule="exact"/>
        <w:rPr>
          <w:sz w:val="20"/>
          <w:szCs w:val="20"/>
          <w:color w:val="auto"/>
        </w:rPr>
      </w:pPr>
    </w:p>
    <w:p>
      <w:pPr>
        <w:ind w:right="7100" w:firstLine="8"/>
        <w:spacing w:after="0" w:line="375" w:lineRule="auto"/>
        <w:tabs>
          <w:tab w:leader="none" w:pos="35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Business Combinations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Based on information not available at the acquisition date but received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Consolidated Statements of Operations and Comprehensive (Loss) Income. Acquisition-related expenses and postcombination integration and employee compensation costs are recognized separately from the business combination and are expensed as incurred.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and cash equivalents consist primarily of cash deposits with certain financial institutions and highly liquid investments. The Company considers all highly liquid investments and investments with original maturities of three months or less from the date of purchase to be cash equivalents.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restricted cash primarily consisted of (i) cash used to secure a letter of credit for the Company’s office lease in Oakland, California, and (ii) funds held by TransactPay on behalf of its customers related to card and electronic money (“e-money”) wallet programs. The restricted cash associated with these customer funds arose from the Company’s acquisition of TransactPay on July 31, 2025 (see Note 4, “Business Combinations,” for further details). These funds represent program collateral, safeguarded funds, or settlement balances required to support timely transaction settlement. In the normal course of business, TransactPay receives customer funds in exchange for e-money issued or spent funds within the transaction settlement period for payments to the card networks. TransactPay must comply with applicable safeguarding requirements for customer funds, which are generally satisfied by maintaining cash or cash equivalents in segregated bank accounts. Accordingly, cash and cash equivalents held to meet TransactPay’s safeguarding, collateral, or settlement requirements are classified as restricted cash on the Company’s Consolidated Balance Sheet. Corresponding obligations to the TransactPay customers are recognized as funds payable and amounts due to customers within current liabilities on the Consolidated Balance Sheet, reflecting the Company's custodial role. The restricted cash acquired in the TransactPay acquisition is reflected as an investing inflow in the Consolidated Statement of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Payment Transactions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For Marqeta's operations, these pre-funding amounts may only be used to settle customers' payment transactions and are not considered assets of the Company. Unlike TransactPay’s operations in Gibraltar and Malta, which are subject to safeguarding requirements for customer funds under the applicable jurisdictional regulations, Marqeta’s operations in other geographies, including the United States, are not required to comply with such regulations as there are no equivalent safeguarding rules. Accordingly, the funds held in customers’ accounts at Issuing Banks are not reflected on the Company’s Consolidated Balance Sheets.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Previously, the Company maintained cash balances as collateral with certain issuing bank partners in the event customers funds were not deposited at the Issuing Banks in time to settle customer transactions with the Card Networks. These deposits are no longer subject to such collateral requirements, and as such, the Company reclassified $7.0 million of cash held at Issuing Banks from restricted cash to cash and cash equivalents during the year ended December 31,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payable and amounts due to customers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Following the acquisition of TransactPay on July 31, 2025, the Company recognizes liabilities related to the customer funds held in connection with card and e-money wallet programs that are classified as restricted cash.</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Program managers and corporate customers prefund the prepaid cards issued by TransactPay. Upon receipt of the prefunding from these program managers and the issuance of e-money, TransactPay records a liability equal to the value of the prefunding and the e-money issued. This liability remains outstanding until the funds are redeemed or utilized by the end-users.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obligations are presented as Funds payable and amounts due to customers in the Company’s Consolidated Balance Sheet. Prior to the TransactPay acquisition, the Company did not hold such customer funds or recognize the related liabilities.</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Changes in funds payable and amounts due to customers are presented as cash flows from financing activities in the Company’s Consolidated Statement of Cash Flows. This classification aligns with the underlying nature of these balances, which represent funds received in exchange for electronic money and advances received by the Company on behalf of program managers and end-users.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short-term investments can include U.S. treasury securities, U.S. agency securities, commercial paper, asset-backed securities, certificates of deposits, and corporate debt securities. The Company's short-term investments are classified as available-for-sale securities. Although certain of these securities have stated maturities beyond one year, the Company classifies all available-for-sale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investments within current assets in the Consolidated Balance Sheets. This classification reflects the Company’s ability and intent to sell these securities as needed to support ongoing operations, even prior to their contractual maturities.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carries these short-term investments at fair value and periodically evaluates them for unrealized losses. For securities in an unrealized loss position that the Company intends to hold and believes it is more likely than not that the securities will not be required to be sold before recovery, the Company further evaluates whether declines in fair value below amortized cost are due to credit or non-credit related factors. In making this assessment, the Company considers the extent to which fair value is less than amortized cost, any changes to the rating of the security by a rating agency, and any adverse conditions specifically related to the security, among other factors.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considers credit related impairments to be changes in value that are driven by a change in the creditor’s ability to meet its payment obligations, and records an allowance in the Consolidated Balance Sheets with a corresponding loss in Other income, net in the Consolidated Statements of Operations and Comprehensive (Loss) Income when the impairment is incurred.</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Unrealized non-credit related losses and unrealized gains are recorded as a separate component in Accumulated other comprehensive income (loss), a component of stockholders’ equity, until realized.</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records any realized gains or losses on the sale of short-term investments in Other income, net in the Consolidated Statements of Operations and Comprehensive (Loss) Income.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are recorded at the invoiced amount, net of an allowance for credit losses and do not earn interest. The Company estimates an allowance for accounts receivable based on its assessment of the collectability of accounts by considering its historical accounts receivable collection experience for each customer, the age of each outstanding invoice, and an evaluation of current expected risk of credit loss based on current economic conditions and reasonable and supportable forecasts of future economic conditions over the life of the receivable. The Company assesses collectability on an individual basis when it identifies specific customers with collectability issues, and on an aggregated basis by reviewing accounts receivable where similar characteristics exist. As of December 31, 2025 and 2024, the combined general and specific allowance for accounts receivable was $2.9 million and $2.4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Settlements Receivable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Settlements receivable represent Interchange Fees earned on customers’ card transactions, net of pass through Card Network fees, that are due from Issuing Banks. Interchange Fees are typically received within one or two business days of the transaction date. The Company has not experienced any historical collection issues with the Issuing Banks, and as such, no allowance has been established. The Company does not generate revenue from Issuing Banks.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measures right-of-use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and Comprehensive (Loss) Income on a straight-line basis over the lease term and records variable lease payments as incurred. The Company has no finance leases.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over the estimated useful lives of the assets; generally three to five years for computer equipment, and furniture and fixtures. Leasehold improvements are amortized over the shorter of the lease term, excluding renewal periods, or the estimated useful life of the leasehold improvement.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capitalizes internal and external direct costs incurred related to obtaining or developing internal-use software. Costs incurred during the application development stage are capitalized and are amortized using the straight-line method over the estimated useful lives of the software, generally three years commencing on the first day of the month following when the software is ready for its intended use. Costs related to planning and other preliminary project activities and post-implementation activities are expensed as incurred.</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depreciation and amortization of property and equipment is recorded within Depreciation and amortization expense in the Consolidated Statements of Operations and Comprehensive (Loss) Income.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excess purchase price over the fair value of identifiable net assets acquired is recorded as goodwill. Goodwill amounts are not amortized.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are carried at cost less accumulated amortization and impairment losses, if any. Intangible assets with finite useful lives are amortized over their estimated useful lives on a straight-line basis. The amortization of these assets is recorded within Depreciation and amortization expense on the Consolidated Statements of Operations and Comprehensive (Loss) Income. Intangible assets with indefinite useful lives, consisting primarily of acquired electronic money institution (“EMI”) licenses, are not amortized, but are tested for impairment annually, or more frequently if events or changes in circumstances indicate that the asset might be impaired.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reviews the valuation of long-lived assets, including property and equipment and finite and indefinite-lived intangible assets, whenever events or changes in circumstances indicate that the carrying amount of the asset may not be recoverable. An asset is considered impaired if its carrying amount exceeds the future undiscounted cash flow the asset is expected to generate.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Impairment testing for goodwill is performed annually in the fourth quarter or more frequently whenever events or changes in circumstances indicate its carrying value may not be recoverable. Such testing is performed at the reporting unit level. Management has the option to first perform a qualitative assessment to determine whether it is more likely than not that the fair value of the reporting unit is less than the carrying amount, including goodwill. If it is determined that it is more likely than not that the fair value of the reporting unit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 The Company also has the option to bypass the qualitative assessment and perform the quantitative assessment.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Based on management's assessment, the Company did not recognize any material impairment losses on its goodwill or finite and indefinite-lived intangible assets during the periods presented herein.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discussion of the Company’s operating lease impairment recorded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Contracts with customers are evaluated on a contract-by-contract basis as contracts may include the transfer of multiple services. The Company’s contracts with customers typically include multiple performance obligations: 1) providing access to the Company's payment processing platform, 2) providing program management or value added services, or 3) providing card fulfillment services. The Company accounts for individual services as a separate performance obligation if they are distinct because the service is separately identifiable from other items in the arrangement and a customer can benefit from the good or service on its own or with other resources that are readily available to the customer. If these criteria are not met, the promised goods or services are accounted for as a combined performance obligation. Certain customer contracts require the Company to allocate the transaction price of the contract based on the relative stand-alone selling price of the performance obligations which are based on prices at which the Company separately sells each service or estimated using an analysis of the Company’s historical contract pricing and costs incurred to fulfill its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providing platform services and other services as described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Platform Services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delivers an integrated payment processing platform to its customers. The Company’s primary performance obligation is to provide customers continuous access to the Company’s platform used to process all customers’ transactions as needed. This obligation includes authorizing, settling, clearing, and reconciling all transactions. Additionally, for certain customer arrangements, the performance obligations also include managing the interactions with Card Networks and/or the Issuing Banks on behalf of its customers, or other value added services, including dispute management, fraud scoring, and cardholder support services.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platform services revenue is derived from Interchange Fees generated by customer card transactions. The Company accounts for these Interchange Fees as revenue earned from its customers for performance obligations where the Company controls the services before delivery to the customer. The Company’s platform services revenue also includes processing and other transaction fees from transactions that are based on either a percentage of processing volume or a fee per transaction basis.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platform services revenue primarily consists of stand-ready obligations which are satisfied over time and are accounted for as a series of distinct services that are substantially the same and have the same pattern of transfer to customers.</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recognizes revenue when the promised services are complete, and its performance obligations are satisfied. Platform services are considered complete when the Company has authorized the transaction, validated that the transaction has no errors, and accepted and posted the data to its records.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allocates variable consideration to the distinct period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ranges from three to five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For net revenue generated from customer arrangements that involve third parties, the Company determines whether it has promised to</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provide the specified service itself (as principal) or to arrange for the specified service to be provided by another party (as an agent). This determination depends on the facts and circumstance of each arrangement, and in some instances, involves significant judgment. In order to deliver an integrated payment processing platform to its customers, the Company works with Issuing Banks and Card Networks in various capacities. The Company is considered the principal in customer arrangements where the Company controls the services performed by the Issuing Banks and Card Networks before delivery of the promised services to its customers, it is primarily responsible for the delivery of the services to customers, and it has discretion in vendor selection. As such, the Company records fees paid to the Issuing Banks and Card Networks as Costs of Revenue within the Consolidated Statements of Operations and Comprehensive (Loss) Income. In instances where the Company is considered an agent in providing services to the customer, fees for services paid to Issuing Banks and Card Networks, if any, are recorded within Net Revenue such that Net Revenue in the Consolidated Statements of Operations and Comprehensive (Loss) Income reflects the net amount of consideration that the Company retains.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Share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contracts with customers typically include provisions under which the Company shares a portion of the Interchange Fees as consideration payable to its customers, referred to as Revenue Share. Revenue Share payments are incentives paid monthly to customers to increase their processing volume on the Company’s platform. These payments are computed as a percentage of the Interchange Fees earned or processing volume.</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records Revenue Share as a reduction to net revenue in the Consolidated Statements of Operations and Comprehensive (Loss) Income. The Company records the amount due to the customer as Revenue Share payable on the Consolidated Balance Sheets.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Services Revenue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Deferred Revenue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Contract assets are reported in Prepaid expenses and other current assets and Other assets in the Consolidated Balance Sheets. The Company records contract assets primarily due to upfront payments provided to certain customers or variable consideration from customer contracts, where pricing terms are not consistent throughout the entire term of the contract.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Deferred revenue is reported within Accrued expenses and other current liabilities and Other liabilities in the Consolidated Balance Sheets, and arises when customers pay for services in advance of the Company's revenue recognition. The Company recognizes deferred revenue primarily due to undelivered card fulfillment services, variable consideration from customer contracts where pricing terms are not consistent throughout the entire term of the contract, or non-refundable upfront setup fees are billed at contract inception.</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This material right is valued by estimating the discount that will be redeemed by the customer during the optional renewal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Costs of revenue consist of Card Network fees, Issuing Bank fees, and card fulfillment costs for customer arrangements where we are the principal in providing services to the customer and excludes depreciation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amortization, which is reported separately within the Consolidated Statements of Operations and Comprehensive (Loss) Income.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The Company accounts for these incentives as a reduction of Card Network fees within Costs of Revenue in customer arrangements where the Company acts as the principal. As processing volumes increase, the Company earns a higher cumulative incentive rate, subject to achieving specific cumulative volume thresholds within an annual measurement period. For certain incentive arrangements, the annual measurement period may not align with the Company’s fiscal year.</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second quarter of fiscal year 2025, the Company recognized network incentives in the period when cumulative transaction volume thresholds were met, which was due to insufficient data to reliably estimate the incentives the Card Networks would ultimately earn over the respective annual period. This approach resulted in fluctuations in Card Network fees, particularly when thresholds were reached, as higher incentive rates were applied retroactively to the entire measurement period. Historically, the Company has earned the highest incentive rates in the first quarter of its fiscal year, when annual measurement periods are nearing completion and higher cumulative transaction volume thresholds are achieved. Conversely, the second quarter generally reflected the lowest incentive rates, as the annual measurement periods and cumulative transaction volume thresholds reset to lower levels.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in the second quarter of fiscal year 2025, the Company revised its accounting policy for estimating and recognizing network incentives. The Company now estimates and recognizes network incentives based on the cumulative incentive rates it expects to earn over the annual measurement period. The Company estimates the cumulative incentive rates based on its forecasts for the annual measurement periods, which incorporate both historical experience and our expectations of future events, in addition to other qualitative considerations. The cumulative incentive rates are applied to the volume and/or number of transactions processed during the reporting period to calculate the quarterly network incentives recognized. As a result of this policy revision, the Card Network incentives recognized during the year ended December 31, 2025 were $1.5 million higher compared to the amount that would have been recognized under the previous policy.</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Uncollected incentives are included in Network incentives receivable in the Consolidated Balance Sheets. The Company's contracts with Card Networks and Issuing Banks typically have terms ranging from three to five years, which may be renewed in one-year to two-year increments as agreed by both parties.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expenses advertising costs as they are incurred. Advertising expenses for the years ended December 31, 2025, 2024, and 2023, were $4.2 million, $2.3 million, and $1.5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costs, which consist primarily of salaries, employee benefits, share-based compensation, third-party hosting fees, and software licenses were $144.5 million, $141.4 million, and $148.0 million for the years ended December 31, 2025, 2024, and 2023, respectively. Research and development costs are expensed as incurred, and are included in Compensation and benefits and Technology expenses in the Consolidated Statements of Operations and Comprehensive (Loss)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types of share-based compensation utilized by the Company are restricted share units (“RSUs”), stock options, performance-based restricted stock units (“PSUs”), and the use of the employee stock purchase plan (“ESPP”). The Company determines compensation expense associated with RSUs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 estimated fair value of its common stock on the date of grant. The compensation expense associated with stock options is determined based on the estimated grant date fair value using the Black-Scholes option pricing model. The Company generally recognizes compensation expense using a straight-line amortization method over the respective vesting period. The PSUs granted vest over three years and have a one year performance period with one-third of the PSUs subject to cliff vesting following the completion of the performance period, then vesting in equal quarterly installments thereafter. Over the performance period, the number of PSUs that may be issued and the related share-based compensation expense that is recognized is adjusted upward or downward based upon the probability of achieving the approved performance targets against the performance metrics. Depending on the probability of achieving the pre-established performance targets, the number of PSUs issued could range from 0% to 200% of the target amount. The Company accounts for forfeitures as they occur.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maintains defined contribution plans for eligible employees, including a 401(k) plan that covers substantially all of its U.S. based employees and to which the Company provides a matching contribution of 50% of the first 6% of compensation that an employee contributes. The matching contribution vests immediately.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Restructuring costs arise from employee related severance charges and include both cash and non-cash compensation. The Company generally recognizes restructuring costs when it is committed to a restructuring plan and the related liabilities are probable and can be reasonably estimated, or pursuant to an established plan for ongoing benefit arrangements. For one-time termination benefits, recognition generally occurs upon communication of the plan details to the affected employees, in accordance with the plan’s specific terms. Timing of recognition may vary depending on the region in which an employee works and appliable local laws. Restructuring liabilities are classified in Accrued expenses and other current liabilities in the Consolidated Balance Sheets as these liabilities are generally settled within less than one year of recognition.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(benefit) in the Consolidated Statements of Operations and Comprehensive (Loss) Income.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Per Share Attributable to Common Stockholders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presents basic and diluted net (loss) income per share attributable to common stockholders in conformity with the two-class method. The Company calculates basic net (loss) income per share attributable to common stockholders by dividing net (loss) income attributable to common stockholders by the weighted-average number of shares of common stock outstanding during the period. Diluted net (loss) income per share attributable to common stockholders gives effect to all potential shares of common stock, including common stock issuable upon conversion of redeemable convertible preferred stock and redeemable convertible preferred stock warrants, stock options, RSUs, PSUs and common stock warrants to the extent these are dilutive.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If a loss is reasonably possible and the loss or range of loss can be reasonably estimated, the Company discloses the possible loss in the accompanying notes to the Consolidated Financial Statements. Judgment is required to determine both the probability and the estimated amount.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4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5" w:lineRule="exact"/>
        <w:rPr>
          <w:sz w:val="20"/>
          <w:szCs w:val="20"/>
          <w:color w:val="auto"/>
        </w:rPr>
      </w:pPr>
    </w:p>
    <w:p>
      <w:pPr>
        <w:ind w:left="320" w:hanging="312"/>
        <w:spacing w:after="0" w:line="207" w:lineRule="exact"/>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Inputs are quoted prices in active markets for identical assets as of the reporting date;</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Inputs other than Level 1 that are observable, either directly or indirectly; or</w:t>
      </w:r>
    </w:p>
    <w:p>
      <w:pPr>
        <w:spacing w:after="0" w:line="117"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pricing inputs in the market.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instruments consist of cash equivalents, restricted cash, short-term investments, accounts receivable, settlements receivable, accounts payable, revenue share payable, contingent consideration liability, and accrued liabilities. Cash equivalents are stated at amortized cost, which approximates fair value at the balance sheet dates, due to the short period of time to maturity. Short-term investments and contingent consideration liability are carried at fair value. Accounts receivable, settlements receivable, accounts payable, revenue share payable, and accrued liabilities are stated at their carrying value, which approximates fair value due to the short period of time to the expected receipt or payment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functional currency of the Company’s foreign subsidiaries is its respective local currency. For these foreign entities, the Company translates the financial statements into U.S. dollars using average exchange rates for the period for income statement amounts and using end-of-period exchange rates for assets and liabilities. There translation adjustments are included in Accumulated other comprehensive income (loss) in the Consolidated Balance Sheets and the Consolidated Statements of Stockholders’ Equity. Foreign currency transaction gains and losses are included in Other income, net in the Consolidated Statements of Operations and Comprehensive (Loss) Income.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2023, the Financial Accounting Standards Board (“FASB”) issued ASU 2023-09, “Income Taxes (Topic 740): Improvements to Income Tax Disclosures”,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Company adopted the standard prospectively for the year ended December 31, 2025, resulting in expanded disclosures related to the effective tax rate reconciliation and income taxes paid by jurisdiction in Note 15.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Accounting Standards Update No. 2024-03, “Income Statement—Reporting Comprehensive Income— Expense Disaggregation Disclosures” (“ASU 2024-03”). ASU 2024-03 is intended to improve disclosures about a public business entity's expenses and provide more detailed information to investors about the types of expenses in commonly presented expense captions. The amendments in this ASU are effective for the Company in fiscal 2027 on a retrospective basis, with early adoption permitted. The Company is currently evaluating the operational and financial reporting implications of this standard.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2025, the FASB issued Accounting Standards Update No. 2025-06, “Intangibles - Goodwill and Other - Internal-Use Software (Subtopic 350-40): Targeted Improvements to the Accounting for Internal-Use Software” ("ASU 2025-06"). ASU 2025-06 modernizes the accounting for internal-use software costs by increasing the operability of the recognition guidance considering different methods of software development. ASU 2025-06 can be applied prospectively, retrospectively, or with a modified transition approach, and is effective for the Company for annual reporting as well as interim period reporting beginning in fiscal year 2028 with early adoption permitted. The Company is currently evaluating the impact that the adoption of this standard will have on its consolidated financial statements and disclosures.</w:t>
      </w:r>
    </w:p>
    <w:p>
      <w:pPr>
        <w:spacing w:after="0" w:line="290" w:lineRule="exact"/>
        <w:rPr>
          <w:sz w:val="20"/>
          <w:szCs w:val="20"/>
          <w:color w:val="auto"/>
        </w:rPr>
      </w:pPr>
    </w:p>
    <w:p>
      <w:pPr>
        <w:ind w:right="8900" w:firstLine="8"/>
        <w:spacing w:after="0" w:line="375" w:lineRule="auto"/>
        <w:tabs>
          <w:tab w:leader="none" w:pos="35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b w:val="1"/>
          <w:bCs w:val="1"/>
          <w:i w:val="1"/>
          <w:iCs w:val="1"/>
          <w:color w:val="auto"/>
        </w:rPr>
        <w:t>Disaggregation of Revenue</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disaggregated revenue from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services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594,137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654,553</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21,618</w:t>
            </w:r>
          </w:p>
        </w:tc>
      </w:tr>
      <w:tr>
        <w:trPr>
          <w:trHeight w:val="248"/>
        </w:trPr>
        <w:tc>
          <w:tcPr>
            <w:tcW w:w="6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624,884</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676,171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deferred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ind w:left="1020"/>
              <w:spacing w:after="0"/>
              <w:rPr>
                <w:sz w:val="20"/>
                <w:szCs w:val="20"/>
                <w:color w:val="auto"/>
              </w:rPr>
            </w:pPr>
            <w:r>
              <w:rPr>
                <w:rFonts w:ascii="Arial" w:cs="Arial" w:eastAsia="Arial" w:hAnsi="Arial"/>
                <w:sz w:val="16"/>
                <w:szCs w:val="16"/>
                <w:b w:val="1"/>
                <w:bCs w:val="1"/>
                <w:color w:val="auto"/>
              </w:rPr>
              <w:t>Contract balance</w:t>
            </w:r>
          </w:p>
        </w:tc>
        <w:tc>
          <w:tcPr>
            <w:tcW w:w="4740" w:type="dxa"/>
            <w:vAlign w:val="bottom"/>
            <w:gridSpan w:val="2"/>
            <w:vMerge w:val="restart"/>
          </w:tcPr>
          <w:p>
            <w:pPr>
              <w:ind w:left="1240"/>
              <w:spacing w:after="0"/>
              <w:rPr>
                <w:sz w:val="20"/>
                <w:szCs w:val="20"/>
                <w:color w:val="auto"/>
              </w:rPr>
            </w:pPr>
            <w:r>
              <w:rPr>
                <w:rFonts w:ascii="Arial" w:cs="Arial" w:eastAsia="Arial" w:hAnsi="Arial"/>
                <w:sz w:val="16"/>
                <w:szCs w:val="16"/>
                <w:b w:val="1"/>
                <w:bCs w:val="1"/>
                <w:color w:val="auto"/>
              </w:rPr>
              <w:t>Balance sheet line reference</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8"/>
        </w:trPr>
        <w:tc>
          <w:tcPr>
            <w:tcW w:w="3420" w:type="dxa"/>
            <w:vAlign w:val="bottom"/>
            <w:gridSpan w:val="2"/>
            <w:vMerge w:val="continue"/>
          </w:tcPr>
          <w:p>
            <w:pPr>
              <w:spacing w:after="0"/>
              <w:rPr>
                <w:sz w:val="11"/>
                <w:szCs w:val="11"/>
                <w:color w:val="auto"/>
              </w:rPr>
            </w:pPr>
          </w:p>
        </w:tc>
        <w:tc>
          <w:tcPr>
            <w:tcW w:w="4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61"/>
        </w:trPr>
        <w:tc>
          <w:tcPr>
            <w:tcW w:w="3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100" w:type="dxa"/>
            <w:vAlign w:val="bottom"/>
            <w:shd w:val="clear" w:color="auto" w:fill="CCEEFF"/>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assets - non-current</w:t>
            </w:r>
          </w:p>
        </w:tc>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contract assets</w:t>
            </w:r>
          </w:p>
        </w:tc>
        <w:tc>
          <w:tcPr>
            <w:tcW w:w="4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Deferred revenue - current</w:t>
            </w:r>
          </w:p>
        </w:tc>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20" w:type="dxa"/>
            <w:vAlign w:val="bottom"/>
            <w:gridSpan w:val="2"/>
            <w:vMerge w:val="continue"/>
          </w:tcPr>
          <w:p>
            <w:pPr>
              <w:spacing w:after="0"/>
              <w:rPr>
                <w:sz w:val="17"/>
                <w:szCs w:val="17"/>
                <w:color w:val="auto"/>
              </w:rPr>
            </w:pPr>
          </w:p>
        </w:tc>
        <w:tc>
          <w:tcPr>
            <w:tcW w:w="4740" w:type="dxa"/>
            <w:vAlign w:val="bottom"/>
            <w:gridSpan w:val="2"/>
            <w:vMerge w:val="continue"/>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11,762</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 non-current</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23"/>
        </w:trPr>
        <w:tc>
          <w:tcPr>
            <w:tcW w:w="3420" w:type="dxa"/>
            <w:vAlign w:val="bottom"/>
            <w:gridSpan w:val="2"/>
          </w:tcPr>
          <w:p>
            <w:pPr>
              <w:ind w:left="460"/>
              <w:spacing w:after="0"/>
              <w:rPr>
                <w:sz w:val="20"/>
                <w:szCs w:val="20"/>
                <w:color w:val="auto"/>
              </w:rPr>
            </w:pPr>
            <w:r>
              <w:rPr>
                <w:rFonts w:ascii="Arial" w:cs="Arial" w:eastAsia="Arial" w:hAnsi="Arial"/>
                <w:sz w:val="18"/>
                <w:szCs w:val="18"/>
                <w:color w:val="auto"/>
              </w:rPr>
              <w:t>Total deferred revenue</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vMerge w:val="restart"/>
          </w:tcPr>
          <w:p>
            <w:pPr>
              <w:ind w:left="210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revenue recognized during the years ended December 31, 2025 and 2024 that was included in the deferred revenue balances at the beginning of the respective periods was $13.2 million and $9.0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performance obligations associated with commitments in customer contracts for future stand-ready obligations to process transactions throughout the contractual term. As of December 31, 2025, the aggregate amount of the transaction price allocated to our remaining performance obligations was $42.2 million. The Company expects to recognize approximately 70% within two years and the remaining 30% over the next three to five years.</w:t>
      </w:r>
    </w:p>
    <w:p>
      <w:pPr>
        <w:spacing w:after="0" w:line="284" w:lineRule="exact"/>
        <w:rPr>
          <w:sz w:val="20"/>
          <w:szCs w:val="20"/>
          <w:color w:val="auto"/>
        </w:rPr>
      </w:pPr>
    </w:p>
    <w:p>
      <w:pPr>
        <w:ind w:right="8840" w:firstLine="8"/>
        <w:spacing w:after="0" w:line="375" w:lineRule="auto"/>
        <w:tabs>
          <w:tab w:leader="none" w:pos="35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b w:val="1"/>
          <w:bCs w:val="1"/>
          <w:i w:val="1"/>
          <w:iCs w:val="1"/>
          <w:color w:val="auto"/>
        </w:rPr>
        <w:t>TransactPay</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31, 2025, the Company completed its acquisition of Transact Payments Limited (collectively, with its affiliates “TransactPay”). TransactPay provides BIN sponsorship, E-money Licensing, and virtual Account services in the UK, Gibraltar, and the EEA. The Company’s acquisition of TransactPay strengthens its card program management in Europe and bolsters its digital payment capabilities in the UK, Gibraltar, and the EEA, where EMI licenses are required for issuing and managing electronic money.</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preliminary purchase price was denominated in euros and translated into U.S. dollars using the exchange rate in effect on the acquisition date. Subsequent changes to the preliminary purchase price and its components reflect cash payments and net working capital adjustments made from the acquisition date through December 31, 2025. The preliminary purchase price consisted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paid </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54,016</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Holdback consideration</w:t>
            </w:r>
          </w:p>
        </w:tc>
        <w:tc>
          <w:tcPr>
            <w:tcW w:w="10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2,301</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w:t>
            </w:r>
          </w:p>
        </w:tc>
        <w:tc>
          <w:tcPr>
            <w:tcW w:w="10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preliminary purchase price</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8"/>
        <w:spacing w:after="0" w:line="286"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paid includes a $1.1 million cash payment to the sellers during the quarter ended December 31, 2025 in accordance with the merger agreement for post-closing adjustments.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Holdback Consideration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terms of the merger agreement, the Company retained $3.5 million in holdback consideration, with $2.3 million for indemnification purposes and $1.2 million for post-closing adjustments, collectively, the “Holdbacks”. These Holdbacks serve to secure the sellers’ obligations with respect to pre-closing representations and warranties, potential indemnification claims, and post-closing purchase price adjustments.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2025, upon finalization of the post-closing purchase price adjustment procedures, the Company paid the sellers approximately $1.1 million of the $1.2 million originally retained for post-closing adjustments. As of December 31, 2025, $2.4 million of the original holdbacks remains outstanding, retained solely for general indemnification purposes. The Company has recorded the remaining holdback consideration within accrued expenses and other current liabilities on the Consolidated Balance Sheet. The increase in the remaining general indemnification holdback from the $ 2.3 million retained at the closing date to $2.4 million as of December 31, 2025 is due to changes in foreign currency exchange rates. This amount is expected to be settled in the third quarter of fiscal 2026, subject to any valid indemnification claims asserted prior to the scheduled release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part of the acquisition, the Company agreed to provide additional contingent consideration in the form of two earn-out arrangements (collectively “the earn-outs”), which would be payable to the sellers upon satisfaction of specified post-closing performance conditions through December 31,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ind w:left="660" w:right="18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Regulatory Improvement Earn-out </w:t>
      </w:r>
      <w:r>
        <w:rPr>
          <w:rFonts w:ascii="Arial" w:cs="Arial" w:eastAsia="Arial" w:hAnsi="Arial"/>
          <w:sz w:val="18"/>
          <w:szCs w:val="18"/>
          <w:color w:val="auto"/>
        </w:rPr>
        <w:t>- $2.3 million payable on an all or nothing basis if no enforcement actions, investigations,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are pending against TransactPay by any relevant regulatory authorities in Malta, Gibraltar, and/or the United States as of December 31, 2025.</w:t>
      </w:r>
    </w:p>
    <w:p>
      <w:pPr>
        <w:spacing w:after="0" w:line="62" w:lineRule="exact"/>
        <w:rPr>
          <w:rFonts w:ascii="Arial" w:cs="Arial" w:eastAsia="Arial" w:hAnsi="Arial"/>
          <w:sz w:val="18"/>
          <w:szCs w:val="18"/>
          <w:color w:val="auto"/>
        </w:rPr>
      </w:pPr>
    </w:p>
    <w:p>
      <w:pPr>
        <w:ind w:left="660" w:right="10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Digital Products Earn-out </w:t>
      </w:r>
      <w:r>
        <w:rPr>
          <w:rFonts w:ascii="Arial" w:cs="Arial" w:eastAsia="Arial" w:hAnsi="Arial"/>
          <w:sz w:val="18"/>
          <w:szCs w:val="18"/>
          <w:color w:val="auto"/>
        </w:rPr>
        <w:t>- Up to $3.4 million payable based on the achievement of escalating gross profit thresholds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TransactPay’s digital products in the year ended December 31, 2025.</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fair value of the Earn-out liabilities at Closing, the Company evaluated the probability of achieving the respective performance conditions, considering the short time frame from closing to the December 31, 2025 measurement date, along with historical and projected operational metrics. For the Regulatory Improvement Earn-Out, a high probability of success was assigned based on the lack of material regulatory issues resulting in inclusion of the full $2.3 million in the purchase price. For the Digital Products Earn-Out, a Monte Carlo simulation model was utilized, incorporating actual digital products gross profit performance through the quarter ended September 30, 2025, and forward-looking projections for the remainder of 2025, which yielded an estimated fair value of $1.3 million.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performance period concluded on December 31, 2025, the earn-out liabilities were remeasured based on actual results achieved. The aggregate fair value of the earn-outs was $3.7 million as of December 31, 2025, reflecting insignificant changes from the initial fair value measurement that were recorded in the Consolidated Statements of Operations and Comprehensive (Loss) Income. The earn-outs are recorded in accrued expenses and other current liabilities in the Consolidated Balance Sheet. With the performance conditions now resolved, no significant further adjustments to the fair value of the earn-outs are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 Amounts are presented in U.S. dollars, translated from euros using the exchange rate in effect on the acquisition date. This preliminary purchase price allocation reflects the measurement period adjustments recorded from the acquisition date through December 31,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229,650</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23"/>
        </w:trPr>
        <w:tc>
          <w:tcPr>
            <w:tcW w:w="8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tangible assets acquired</w:t>
            </w:r>
          </w:p>
        </w:tc>
        <w:tc>
          <w:tcPr>
            <w:tcW w:w="8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245,087</w:t>
            </w:r>
          </w:p>
        </w:tc>
      </w:tr>
      <w:tr>
        <w:trPr>
          <w:trHeight w:val="318"/>
        </w:trPr>
        <w:tc>
          <w:tcPr>
            <w:tcW w:w="8980" w:type="dxa"/>
            <w:vAlign w:val="bottom"/>
          </w:tcPr>
          <w:p>
            <w:pPr>
              <w:ind w:left="20"/>
              <w:spacing w:after="0"/>
              <w:rPr>
                <w:sz w:val="20"/>
                <w:szCs w:val="20"/>
                <w:color w:val="auto"/>
              </w:rPr>
            </w:pPr>
            <w:r>
              <w:rPr>
                <w:rFonts w:ascii="Arial" w:cs="Arial" w:eastAsia="Arial" w:hAnsi="Arial"/>
                <w:sz w:val="18"/>
                <w:szCs w:val="18"/>
                <w:color w:val="auto"/>
              </w:rPr>
              <w:t>Funds payable and amounts due to customers</w:t>
            </w:r>
          </w:p>
        </w:tc>
        <w:tc>
          <w:tcPr>
            <w:tcW w:w="8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229,635</w:t>
            </w:r>
          </w:p>
        </w:tc>
      </w:tr>
      <w:tr>
        <w:trPr>
          <w:trHeight w:val="338"/>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2,541</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w:t>
            </w:r>
          </w:p>
        </w:tc>
      </w:tr>
      <w:tr>
        <w:trPr>
          <w:trHeight w:val="223"/>
        </w:trPr>
        <w:tc>
          <w:tcPr>
            <w:tcW w:w="8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 assumed</w:t>
            </w:r>
          </w:p>
        </w:tc>
        <w:tc>
          <w:tcPr>
            <w:tcW w:w="8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243,402</w:t>
            </w:r>
          </w:p>
        </w:tc>
      </w:tr>
      <w:tr>
        <w:trPr>
          <w:trHeight w:val="223"/>
        </w:trPr>
        <w:tc>
          <w:tcPr>
            <w:tcW w:w="8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tangible assets acquired</w:t>
            </w: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EMI licenses</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21,399</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29,914</w:t>
            </w:r>
          </w:p>
        </w:tc>
      </w:tr>
      <w:tr>
        <w:trPr>
          <w:trHeight w:val="223"/>
        </w:trPr>
        <w:tc>
          <w:tcPr>
            <w:tcW w:w="8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intangible assets acquired</w:t>
            </w: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58,216</w:t>
            </w:r>
          </w:p>
        </w:tc>
      </w:tr>
      <w:tr>
        <w:trPr>
          <w:trHeight w:val="248"/>
        </w:trPr>
        <w:tc>
          <w:tcPr>
            <w:tcW w:w="8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purchase price</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allocation for the TransactPay acquisition remains preliminary as of December 31, 2025, and is subject to revision for certain acquired assets and assumed liabilities. In particular, the Company continues to evaluate facts and circumstances that existed as of the closing date, which may result in adjustments to provisional amounts for identifiable intangible assets, deferred tax assets and/or liabilities, and purchase consideration. Any measurement period adjustments will be recognized prospectively in the period in which the adjustments are determined, with the measurement period ending as soon as sufficient information is obtained or no later than one year from the closing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Funds payable and amounts due to customers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restricted cash acquired consists of funds held on behalf of customers in segregated accounts as part of program management activities for card and e-money wallet programs. These funds function as collateral or settlement balances to facilitate timely transaction processing, and the Company is subject to restrictions on their use to ensure compliance with regulatory safeguarding requirements. Notwithstanding these restrictions, the Company bears the associated credit risk and retains the right to earn interest on the balances. Accordingly, the Company has concluded that these funds qualify as its assets and are classified as restricted cash on the Consolidated Balance Sheet. Corresponding obligations to the customers are recognized as funds payable and amounts due to customers within current liabilities on the Consolidated Balance Sheet, reflecting the Company's custodial role.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customer relationships intangible asset, which represents established relationships with program managers and end-users, was determined to have an estimated useful life of two years. The fair value was estimated using the replacement cost method, which considers the hypothetical costs to recreate these relationships.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 Licenses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EMI licenses, which permit the issuance of e-money in relevant jurisdictions, have no fixed expiration date and can be renewed indefinitely, provided ongoing regulatory requirements, such as periodic filings and payment of required fees, are met. Accordingly, these are classified as indefinite-lived intangible assets and are not subject to amortization but will be tested for impairment annually or more frequently if indicators exist. The fair value of the EMI licenses was determined using the income approach, specifically the “with-and-without” method, which estimates the incremental economic benefit attributable to the licenses by comparing the present value of projected cash flows with and without the licenses in place.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goodwill is attributable to expected synergies. The acquisition is a non-taxable business combination and goodwill recognized in the acquisition is not deductible for tax purposes.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incurred approximately $4.0 million acquisition related costs, of which $1.0 million was recognized during the year ended December 31, 2024 and $3.0 million was recognized during the year ended December 31, 2025, respectively, and are primarily included in professional services on the Consolidated Statements of Operations and Comprehensive (Loss) Income.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results of operations of TransactPay have been included in the Company’s Consolidated Statements of Operations and Comprehensive (Loss) Income from the acquisition date of July 31, 2025, through December 31, 2025. The results of operations of TransactPay for periods prior to the acquisition date were not material to the Company’s consolidated statements of operations. Accordingly, supplemental pro forma financial information has not been presented.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Finance Inc.</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2023, the Company acquired all outstanding stock of Power Finance Inc. (“Power Finance”) for a base cash purchase price of $221.9 million. The purchase price does not include $53.1 million of contingent consideration tied to performance-based goals which were expected to be achieved within 12 months from the date of acquisition. The Company determined the acquisition-date fair value of the contingent consideration liability, based on the likelihood of payment related to the contingent earn-out clauses, as part of the consideration transferred.</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Power Finance’s cloud-based platform offers credit card program management services for companies creating new credit card programs. The acquisition of Power Finance will accelerate the Company’s credit product capabilities and allow the Company’s customers to launch a wide range of credit products and constructs.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80" w:type="dxa"/>
            <w:vAlign w:val="bottom"/>
          </w:tcPr>
          <w:p>
            <w:pPr>
              <w:spacing w:after="0"/>
              <w:rPr>
                <w:sz w:val="20"/>
                <w:szCs w:val="20"/>
                <w:color w:val="auto"/>
              </w:rPr>
            </w:pPr>
            <w:r>
              <w:rPr>
                <w:rFonts w:ascii="Arial" w:cs="Arial" w:eastAsia="Arial" w:hAnsi="Arial"/>
                <w:sz w:val="18"/>
                <w:szCs w:val="18"/>
                <w:color w:val="auto"/>
              </w:rPr>
              <w:t>The following table summarizes the components of the purchase consideration transferred:</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8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purchase price less contingent consideration</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221,933</w:t>
            </w:r>
          </w:p>
        </w:tc>
        <w:tc>
          <w:tcPr>
            <w:tcW w:w="0" w:type="dxa"/>
            <w:vAlign w:val="bottom"/>
          </w:tcPr>
          <w:p>
            <w:pPr>
              <w:spacing w:after="0"/>
              <w:rPr>
                <w:sz w:val="1"/>
                <w:szCs w:val="1"/>
                <w:color w:val="auto"/>
              </w:rPr>
            </w:pP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Less: postcombination cash, non-cash expense and other purchase adjustments</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118,447</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cash acquired on acquisition date</w:t>
            </w:r>
          </w:p>
        </w:tc>
        <w:tc>
          <w:tcPr>
            <w:tcW w:w="8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Total purchase consideration, excluding contingent consideration</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110,575</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8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53,067</w:t>
            </w: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Purchase consideration</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163,642</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5520"/>
              <w:spacing w:after="0"/>
              <w:rPr>
                <w:sz w:val="20"/>
                <w:szCs w:val="20"/>
                <w:color w:val="auto"/>
              </w:rPr>
            </w:pPr>
            <w:r>
              <w:rPr>
                <w:rFonts w:ascii="Arial" w:cs="Arial" w:eastAsia="Arial" w:hAnsi="Arial"/>
                <w:sz w:val="18"/>
                <w:szCs w:val="18"/>
                <w:color w:val="auto"/>
              </w:rPr>
              <w:t>86</w:t>
            </w: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8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9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the $117.6 million postcombination compensation excluded from purchase consideration, approximately $32.4 million was recognized as non-cash postcombination compensation cost at closing as a result of the vesting provisions of the employee replacement awards on the acquisition date. The remaining $85.1 million is subject to continuous employment and will be recognized as postcombination cash compensation cost over a weighted-average period of 2.2 years. Postcombination expense recognized was $7.1 million, $39.7 million and $36.4 million for the years ended December 31, 2025, 2024 and 2023, respectively, and is included within Compensation and benefits in the Consolidated Statements of Operations and Comprehensive (Loss) Income. As of December 31, 2025, approximately $1.0 million of this post-combination compensation remained unrecognized and is expected to be fully recognized during the year ending December 31, 2026.</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assets acquired and liabilities assumed were recorded at fair value as of the acquisition date. The final $163.6 million purchase consideration was attributed to $41.0 million of developed technology intangible assets (to be amortized over an estimated useful life of 7 years), $ 8.0 million of deferred tax liabilities, and $7.1 million of net assets acquired, with the $123.5 million excess of purchase consideration over the fair value of assets acquired and liabilities assumed recorded as goodwill. The fair value of the developed technology intangible assets was estimated using the multi-period excess earnings method (“MPEEM”), a form of the income approach. The principle behind this method is that the value of the intangible asset is equal to the present value of the after-tax cash flows attributable to the intangible asset. The Company applied judgment which involved the use of certain assumptions with respect of the revenue and EBITDA forecasts, obsolescence rate, and discount rate. The goodwill recognized was primarily attributable to the expected synergies from integrating Power Finance’s technology into the Company’s platform. Goodwill was not considered deductible for tax purposes.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results of Power Finance are included in the Company’s Consolidated Financial Statements from the date of acquisition. Separate operating results and pro forma results of operations for Power Finance have not been presented as the effect of this acquisition was not material to the Company’s financial results. Acquisition-related third-party transaction costs were $3.3 million for the year ended December 31, 2023 and were included in Professional services in the Consolidated Statement of Operations and Comprehensive (Loss) Income. Transaction costs for the Power Finance acquisition were immaterial for the year ended December 31, 2024.</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third quarter of 2023, the Company paid $53.1 million in contingent consideration upon achievement of the related performance-based milestones during the second quarter of 2023.</w:t>
      </w:r>
    </w:p>
    <w:p>
      <w:pPr>
        <w:sectPr>
          <w:pgSz w:w="11900" w:h="16838" w:orient="portrait"/>
          <w:cols w:equalWidth="0" w:num="1">
            <w:col w:w="11240"/>
          </w:cols>
          <w:pgMar w:left="320" w:top="125" w:right="339" w:bottom="1440" w:gutter="0" w:footer="0" w:header="0"/>
        </w:sectPr>
      </w:pPr>
    </w:p>
    <w:p>
      <w:pPr>
        <w:spacing w:after="0" w:line="263" w:lineRule="exact"/>
        <w:rPr>
          <w:sz w:val="20"/>
          <w:szCs w:val="20"/>
          <w:color w:val="auto"/>
        </w:rPr>
      </w:pPr>
    </w:p>
    <w:p>
      <w:pPr>
        <w:ind w:right="5803" w:firstLine="8"/>
        <w:spacing w:after="0" w:line="374" w:lineRule="auto"/>
        <w:tabs>
          <w:tab w:leader="none" w:pos="35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Intangible Assets Goodwill</w:t>
      </w:r>
    </w:p>
    <w:p>
      <w:pPr>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Goodwill consisted of the following:</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from acquisition of TransactPay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adjustment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to goodwill during the year ended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77" w:hanging="977"/>
        <w:spacing w:after="0"/>
        <w:tabs>
          <w:tab w:leader="none" w:pos="9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123,523</w:t>
      </w:r>
    </w:p>
    <w:p>
      <w:pPr>
        <w:spacing w:after="0" w:line="43" w:lineRule="exact"/>
        <w:rPr>
          <w:rFonts w:ascii="Arial" w:cs="Arial" w:eastAsia="Arial" w:hAnsi="Arial"/>
          <w:sz w:val="17"/>
          <w:szCs w:val="17"/>
          <w:color w:val="auto"/>
        </w:rPr>
      </w:pPr>
    </w:p>
    <w:p>
      <w:pPr>
        <w:ind w:left="1077"/>
        <w:spacing w:after="0"/>
        <w:rPr>
          <w:rFonts w:ascii="Arial" w:cs="Arial" w:eastAsia="Arial" w:hAnsi="Arial"/>
          <w:sz w:val="17"/>
          <w:szCs w:val="17"/>
          <w:color w:val="auto"/>
        </w:rPr>
      </w:pPr>
      <w:r>
        <w:rPr>
          <w:rFonts w:ascii="Arial" w:cs="Arial" w:eastAsia="Arial" w:hAnsi="Arial"/>
          <w:sz w:val="17"/>
          <w:szCs w:val="17"/>
          <w:color w:val="auto"/>
        </w:rPr>
        <w:t>29,914</w:t>
      </w:r>
    </w:p>
    <w:p>
      <w:pPr>
        <w:spacing w:after="0" w:line="34" w:lineRule="exact"/>
        <w:rPr>
          <w:rFonts w:ascii="Arial" w:cs="Arial" w:eastAsia="Arial" w:hAnsi="Arial"/>
          <w:sz w:val="17"/>
          <w:szCs w:val="17"/>
          <w:color w:val="auto"/>
        </w:rPr>
      </w:pPr>
    </w:p>
    <w:p>
      <w:pPr>
        <w:ind w:left="1177"/>
        <w:spacing w:after="0"/>
        <w:rPr>
          <w:rFonts w:ascii="Arial" w:cs="Arial" w:eastAsia="Arial" w:hAnsi="Arial"/>
          <w:sz w:val="17"/>
          <w:szCs w:val="17"/>
          <w:color w:val="auto"/>
        </w:rPr>
      </w:pPr>
      <w:r>
        <w:rPr>
          <w:rFonts w:ascii="Arial" w:cs="Arial" w:eastAsia="Arial" w:hAnsi="Arial"/>
          <w:sz w:val="17"/>
          <w:szCs w:val="17"/>
          <w:color w:val="auto"/>
        </w:rPr>
        <w:t>1,269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890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8" w:lineRule="exact"/>
        <w:rPr>
          <w:sz w:val="20"/>
          <w:szCs w:val="20"/>
          <w:color w:val="auto"/>
        </w:rPr>
      </w:pPr>
    </w:p>
    <w:p>
      <w:pPr>
        <w:ind w:left="977" w:hanging="977"/>
        <w:spacing w:after="0"/>
        <w:tabs>
          <w:tab w:leader="none" w:pos="977" w:val="left"/>
        </w:tabs>
        <w:numPr>
          <w:ilvl w:val="0"/>
          <w:numId w:val="30"/>
        </w:numPr>
        <w:rPr>
          <w:rFonts w:ascii="Arial" w:cs="Arial" w:eastAsia="Arial" w:hAnsi="Arial"/>
          <w:sz w:val="17"/>
          <w:szCs w:val="17"/>
          <w:color w:val="auto"/>
        </w:rPr>
      </w:pPr>
      <w:r>
        <w:rPr>
          <w:rFonts w:ascii="Arial" w:cs="Arial" w:eastAsia="Arial" w:hAnsi="Arial"/>
          <w:sz w:val="17"/>
          <w:szCs w:val="17"/>
          <w:color w:val="auto"/>
        </w:rPr>
        <w:t>154,706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890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10890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8823" w:space="720"/>
            <w:col w:w="1697"/>
          </w:cols>
          <w:pgMar w:left="320" w:top="125"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 Assets,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the dates presented:</w:t>
      </w:r>
    </w:p>
    <w:p>
      <w:pPr>
        <w:spacing w:after="0" w:line="167" w:lineRule="exact"/>
        <w:rPr>
          <w:sz w:val="20"/>
          <w:szCs w:val="20"/>
          <w:color w:val="auto"/>
        </w:rPr>
      </w:pPr>
    </w:p>
    <w:p>
      <w:pPr>
        <w:jc w:val="right"/>
        <w:ind w:right="280"/>
        <w:spacing w:after="0"/>
        <w:tabs>
          <w:tab w:leader="none" w:pos="92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p>
    <w:p>
      <w:pPr>
        <w:spacing w:after="0" w:line="2" w:lineRule="exact"/>
        <w:rPr>
          <w:sz w:val="20"/>
          <w:szCs w:val="20"/>
          <w:color w:val="auto"/>
        </w:rPr>
      </w:pPr>
    </w:p>
    <w:p>
      <w:pPr>
        <w:jc w:val="both"/>
        <w:ind w:left="8740"/>
        <w:spacing w:after="0"/>
        <w:tabs>
          <w:tab w:leader="none" w:pos="103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Finite-lived Intangible assets: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relationships</w:t>
      </w:r>
      <w:r>
        <w:rPr>
          <w:rFonts w:ascii="Arial" w:cs="Arial" w:eastAsia="Arial" w:hAnsi="Arial"/>
          <w:sz w:val="23"/>
          <w:szCs w:val="23"/>
          <w:color w:val="auto"/>
          <w:vertAlign w:val="superscript"/>
        </w:rPr>
        <w:t>(1)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finite-lives Intangible assets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finite-lived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Indefinite-lived Intangible assets: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EMI licenses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Intangibles assets, net</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tabs>
          <w:tab w:leader="none" w:pos="840" w:val="left"/>
          <w:tab w:leader="none" w:pos="158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41,000</w:t>
        <w:tab/>
        <w:t>$</w:t>
      </w:r>
      <w:r>
        <w:rPr>
          <w:sz w:val="20"/>
          <w:szCs w:val="20"/>
          <w:color w:val="auto"/>
        </w:rPr>
        <w:tab/>
      </w:r>
      <w:r>
        <w:rPr>
          <w:rFonts w:ascii="Arial" w:cs="Arial" w:eastAsia="Arial" w:hAnsi="Arial"/>
          <w:sz w:val="17"/>
          <w:szCs w:val="17"/>
          <w:color w:val="auto"/>
        </w:rPr>
        <w:t>41,000</w:t>
      </w:r>
    </w:p>
    <w:p>
      <w:pPr>
        <w:spacing w:after="0" w:line="63" w:lineRule="exact"/>
        <w:rPr>
          <w:sz w:val="20"/>
          <w:szCs w:val="20"/>
          <w:color w:val="auto"/>
        </w:rPr>
      </w:pPr>
    </w:p>
    <w:p>
      <w:pPr>
        <w:ind w:left="960"/>
        <w:spacing w:after="0"/>
        <w:tabs>
          <w:tab w:leader="none" w:pos="2800" w:val="left"/>
        </w:tabs>
        <w:rPr>
          <w:sz w:val="20"/>
          <w:szCs w:val="20"/>
          <w:color w:val="auto"/>
        </w:rPr>
      </w:pPr>
      <w:r>
        <w:rPr>
          <w:rFonts w:ascii="Arial" w:cs="Arial" w:eastAsia="Arial" w:hAnsi="Arial"/>
          <w:sz w:val="18"/>
          <w:szCs w:val="18"/>
          <w:color w:val="auto"/>
        </w:rPr>
        <w:t>7,059</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19627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43" w:lineRule="exact"/>
        <w:rPr>
          <w:sz w:val="20"/>
          <w:szCs w:val="20"/>
          <w:color w:val="auto"/>
        </w:rPr>
      </w:pPr>
    </w:p>
    <w:p>
      <w:pPr>
        <w:ind w:left="860"/>
        <w:spacing w:after="0"/>
        <w:tabs>
          <w:tab w:leader="none" w:pos="2440" w:val="left"/>
        </w:tabs>
        <w:rPr>
          <w:sz w:val="20"/>
          <w:szCs w:val="20"/>
          <w:color w:val="auto"/>
        </w:rPr>
      </w:pPr>
      <w:r>
        <w:rPr>
          <w:rFonts w:ascii="Arial" w:cs="Arial" w:eastAsia="Arial" w:hAnsi="Arial"/>
          <w:sz w:val="18"/>
          <w:szCs w:val="18"/>
          <w:color w:val="auto"/>
        </w:rPr>
        <w:t>48,059</w:t>
      </w:r>
      <w:r>
        <w:rPr>
          <w:sz w:val="20"/>
          <w:szCs w:val="20"/>
          <w:color w:val="auto"/>
        </w:rPr>
        <w:tab/>
      </w:r>
      <w:r>
        <w:rPr>
          <w:rFonts w:ascii="Arial" w:cs="Arial" w:eastAsia="Arial" w:hAnsi="Arial"/>
          <w:sz w:val="18"/>
          <w:szCs w:val="18"/>
          <w:color w:val="auto"/>
        </w:rPr>
        <w:t>41,000</w:t>
      </w:r>
    </w:p>
    <w:p>
      <w:pPr>
        <w:spacing w:after="0" w:line="63" w:lineRule="exact"/>
        <w:rPr>
          <w:sz w:val="20"/>
          <w:szCs w:val="20"/>
          <w:color w:val="auto"/>
        </w:rPr>
      </w:pPr>
    </w:p>
    <w:p>
      <w:pPr>
        <w:jc w:val="both"/>
        <w:ind w:left="780"/>
        <w:spacing w:after="0"/>
        <w:tabs>
          <w:tab w:leader="none" w:pos="2380" w:val="left"/>
        </w:tabs>
        <w:rPr>
          <w:sz w:val="20"/>
          <w:szCs w:val="20"/>
          <w:color w:val="auto"/>
        </w:rPr>
      </w:pPr>
      <w:r>
        <w:rPr>
          <w:rFonts w:ascii="Arial" w:cs="Arial" w:eastAsia="Arial" w:hAnsi="Arial"/>
          <w:sz w:val="18"/>
          <w:szCs w:val="18"/>
          <w:color w:val="auto"/>
        </w:rPr>
        <w:t>(18,554)</w:t>
      </w:r>
      <w:r>
        <w:rPr>
          <w:sz w:val="20"/>
          <w:szCs w:val="20"/>
          <w:color w:val="auto"/>
        </w:rPr>
        <w:tab/>
      </w:r>
      <w:r>
        <w:rPr>
          <w:rFonts w:ascii="Arial" w:cs="Arial" w:eastAsia="Arial" w:hAnsi="Arial"/>
          <w:sz w:val="18"/>
          <w:szCs w:val="18"/>
          <w:color w:val="auto"/>
        </w:rPr>
        <w:t>(11,226)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19627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43" w:lineRule="exact"/>
        <w:rPr>
          <w:sz w:val="20"/>
          <w:szCs w:val="20"/>
          <w:color w:val="auto"/>
        </w:rPr>
      </w:pPr>
    </w:p>
    <w:p>
      <w:pPr>
        <w:ind w:left="860"/>
        <w:spacing w:after="0"/>
        <w:tabs>
          <w:tab w:leader="none" w:pos="2440" w:val="left"/>
        </w:tabs>
        <w:rPr>
          <w:sz w:val="20"/>
          <w:szCs w:val="20"/>
          <w:color w:val="auto"/>
        </w:rPr>
      </w:pPr>
      <w:r>
        <w:rPr>
          <w:rFonts w:ascii="Arial" w:cs="Arial" w:eastAsia="Arial" w:hAnsi="Arial"/>
          <w:sz w:val="18"/>
          <w:szCs w:val="18"/>
          <w:color w:val="auto"/>
        </w:rPr>
        <w:t>29,505</w:t>
      </w:r>
      <w:r>
        <w:rPr>
          <w:sz w:val="20"/>
          <w:szCs w:val="20"/>
          <w:color w:val="auto"/>
        </w:rPr>
        <w:tab/>
      </w:r>
      <w:r>
        <w:rPr>
          <w:rFonts w:ascii="Arial" w:cs="Arial" w:eastAsia="Arial" w:hAnsi="Arial"/>
          <w:sz w:val="18"/>
          <w:szCs w:val="18"/>
          <w:color w:val="auto"/>
        </w:rPr>
        <w:t>29,774</w:t>
      </w:r>
    </w:p>
    <w:p>
      <w:pPr>
        <w:spacing w:after="0" w:line="333" w:lineRule="exact"/>
        <w:rPr>
          <w:sz w:val="20"/>
          <w:szCs w:val="20"/>
          <w:color w:val="auto"/>
        </w:rPr>
      </w:pPr>
    </w:p>
    <w:p>
      <w:pPr>
        <w:ind w:left="860"/>
        <w:spacing w:after="0"/>
        <w:tabs>
          <w:tab w:leader="none" w:pos="2800" w:val="left"/>
        </w:tabs>
        <w:rPr>
          <w:sz w:val="20"/>
          <w:szCs w:val="20"/>
          <w:color w:val="auto"/>
        </w:rPr>
      </w:pPr>
      <w:r>
        <w:rPr>
          <w:rFonts w:ascii="Arial" w:cs="Arial" w:eastAsia="Arial" w:hAnsi="Arial"/>
          <w:sz w:val="18"/>
          <w:szCs w:val="18"/>
          <w:color w:val="auto"/>
        </w:rPr>
        <w:t>21,883</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860"/>
        <w:spacing w:after="0"/>
        <w:tabs>
          <w:tab w:leader="none" w:pos="2440" w:val="left"/>
        </w:tabs>
        <w:rPr>
          <w:sz w:val="20"/>
          <w:szCs w:val="20"/>
          <w:color w:val="auto"/>
        </w:rPr>
      </w:pPr>
      <w:r>
        <w:rPr>
          <w:rFonts w:ascii="Arial" w:cs="Arial" w:eastAsia="Arial" w:hAnsi="Arial"/>
          <w:sz w:val="18"/>
          <w:szCs w:val="18"/>
          <w:color w:val="auto"/>
        </w:rPr>
        <w:t>51,388</w:t>
      </w:r>
      <w:r>
        <w:rPr>
          <w:sz w:val="20"/>
          <w:szCs w:val="20"/>
          <w:color w:val="auto"/>
        </w:rPr>
        <w:tab/>
      </w:r>
      <w:r>
        <w:rPr>
          <w:rFonts w:ascii="Arial" w:cs="Arial" w:eastAsia="Arial" w:hAnsi="Arial"/>
          <w:sz w:val="18"/>
          <w:szCs w:val="18"/>
          <w:color w:val="auto"/>
        </w:rPr>
        <w:t>29,774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19627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7440" w:space="720"/>
            <w:col w:w="3080"/>
          </w:cols>
          <w:pgMar w:left="320" w:top="125" w:right="339" w:bottom="1440" w:gutter="0" w:footer="0" w:header="0"/>
          <w:type w:val="continuous"/>
        </w:sectPr>
      </w:pPr>
    </w:p>
    <w:p>
      <w:pPr>
        <w:spacing w:after="0" w:line="106" w:lineRule="exact"/>
        <w:rPr>
          <w:sz w:val="20"/>
          <w:szCs w:val="20"/>
          <w:color w:val="auto"/>
        </w:rPr>
      </w:pPr>
    </w:p>
    <w:p>
      <w:pPr>
        <w:jc w:val="both"/>
        <w:ind w:firstLine="8"/>
        <w:spacing w:after="0" w:line="266" w:lineRule="auto"/>
        <w:tabs>
          <w:tab w:leader="none" w:pos="25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customer relationships and EMI licenses acquired in the TransactPay acquisition are denominated in euros. The difference between the U.S. dollar amounts initially recorded at the acquisition date as disclosed in Note 4, Business Combinations, and the balances reported as of December 31, 2025 is attributable to changes in the foreign currency exchange rate.</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amortization period for developed technology intangible assets is 7 years. Amortization expense for developed technology was $5.9 million for the years ended December 31, 2025 and 2024 and $5.4 million for the year ended December 31, 2023. The amortization period for customer relationships is 2 years. Amortization expense for customer relationships was $1.5 million for the year ended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amortization expense for intangible assets was as follows as of December 31,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jc w:val="right"/>
              <w:ind w:right="9230"/>
              <w:spacing w:after="0"/>
              <w:rPr>
                <w:sz w:val="20"/>
                <w:szCs w:val="20"/>
                <w:color w:val="auto"/>
              </w:rPr>
            </w:pPr>
            <w:r>
              <w:rPr>
                <w:rFonts w:ascii="Arial" w:cs="Arial" w:eastAsia="Arial" w:hAnsi="Arial"/>
                <w:sz w:val="18"/>
                <w:szCs w:val="18"/>
                <w:color w:val="auto"/>
                <w:w w:val="99"/>
              </w:rPr>
              <w:t>2026</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w:t>
            </w:r>
          </w:p>
        </w:tc>
      </w:tr>
      <w:tr>
        <w:trPr>
          <w:trHeight w:val="270"/>
        </w:trPr>
        <w:tc>
          <w:tcPr>
            <w:tcW w:w="9740" w:type="dxa"/>
            <w:vAlign w:val="bottom"/>
          </w:tcPr>
          <w:p>
            <w:pPr>
              <w:jc w:val="right"/>
              <w:ind w:right="9230"/>
              <w:spacing w:after="0"/>
              <w:rPr>
                <w:sz w:val="20"/>
                <w:szCs w:val="20"/>
                <w:color w:val="auto"/>
              </w:rPr>
            </w:pPr>
            <w:r>
              <w:rPr>
                <w:rFonts w:ascii="Arial" w:cs="Arial" w:eastAsia="Arial" w:hAnsi="Arial"/>
                <w:sz w:val="18"/>
                <w:szCs w:val="18"/>
                <w:color w:val="auto"/>
                <w:w w:val="99"/>
              </w:rPr>
              <w:t>2027</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7,909</w:t>
            </w:r>
          </w:p>
        </w:tc>
      </w:tr>
      <w:tr>
        <w:trPr>
          <w:trHeight w:val="270"/>
        </w:trPr>
        <w:tc>
          <w:tcPr>
            <w:tcW w:w="9740" w:type="dxa"/>
            <w:vAlign w:val="bottom"/>
            <w:shd w:val="clear" w:color="auto" w:fill="CCEEFF"/>
          </w:tcPr>
          <w:p>
            <w:pPr>
              <w:jc w:val="right"/>
              <w:ind w:right="9230"/>
              <w:spacing w:after="0"/>
              <w:rPr>
                <w:sz w:val="20"/>
                <w:szCs w:val="20"/>
                <w:color w:val="auto"/>
              </w:rPr>
            </w:pPr>
            <w:r>
              <w:rPr>
                <w:rFonts w:ascii="Arial" w:cs="Arial" w:eastAsia="Arial" w:hAnsi="Arial"/>
                <w:sz w:val="18"/>
                <w:szCs w:val="18"/>
                <w:color w:val="auto"/>
                <w:w w:val="99"/>
              </w:rPr>
              <w:t>2028</w:t>
            </w: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r>
      <w:tr>
        <w:trPr>
          <w:trHeight w:val="270"/>
        </w:trPr>
        <w:tc>
          <w:tcPr>
            <w:tcW w:w="9740" w:type="dxa"/>
            <w:vAlign w:val="bottom"/>
          </w:tcPr>
          <w:p>
            <w:pPr>
              <w:jc w:val="right"/>
              <w:ind w:right="9230"/>
              <w:spacing w:after="0"/>
              <w:rPr>
                <w:sz w:val="20"/>
                <w:szCs w:val="20"/>
                <w:color w:val="auto"/>
              </w:rPr>
            </w:pPr>
            <w:r>
              <w:rPr>
                <w:rFonts w:ascii="Arial" w:cs="Arial" w:eastAsia="Arial" w:hAnsi="Arial"/>
                <w:sz w:val="18"/>
                <w:szCs w:val="18"/>
                <w:color w:val="auto"/>
                <w:w w:val="99"/>
              </w:rPr>
              <w:t>2029</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70"/>
        </w:trPr>
        <w:tc>
          <w:tcPr>
            <w:tcW w:w="9740" w:type="dxa"/>
            <w:vAlign w:val="bottom"/>
            <w:shd w:val="clear" w:color="auto" w:fill="CCEEFF"/>
          </w:tcPr>
          <w:p>
            <w:pPr>
              <w:jc w:val="right"/>
              <w:ind w:right="9230"/>
              <w:spacing w:after="0"/>
              <w:rPr>
                <w:sz w:val="20"/>
                <w:szCs w:val="20"/>
                <w:color w:val="auto"/>
              </w:rPr>
            </w:pPr>
            <w:r>
              <w:rPr>
                <w:rFonts w:ascii="Arial" w:cs="Arial" w:eastAsia="Arial" w:hAnsi="Arial"/>
                <w:sz w:val="18"/>
                <w:szCs w:val="18"/>
                <w:color w:val="auto"/>
                <w:w w:val="99"/>
              </w:rPr>
              <w:t>2030</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3"/>
        </w:trPr>
        <w:tc>
          <w:tcPr>
            <w:tcW w:w="9740" w:type="dxa"/>
            <w:vAlign w:val="bottom"/>
          </w:tcPr>
          <w:p>
            <w:pPr>
              <w:jc w:val="right"/>
              <w:ind w:right="4330"/>
              <w:spacing w:after="0"/>
              <w:rPr>
                <w:sz w:val="20"/>
                <w:szCs w:val="20"/>
                <w:color w:val="auto"/>
              </w:rPr>
            </w:pPr>
            <w:r>
              <w:rPr>
                <w:rFonts w:ascii="Arial" w:cs="Arial" w:eastAsia="Arial" w:hAnsi="Arial"/>
                <w:sz w:val="18"/>
                <w:szCs w:val="18"/>
                <w:color w:val="auto"/>
              </w:rPr>
              <w:t>Total expected future amortization expense for intangible assets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29,505</w:t>
            </w:r>
          </w:p>
        </w:tc>
      </w:tr>
      <w:tr>
        <w:trPr>
          <w:trHeight w:val="20"/>
        </w:trPr>
        <w:tc>
          <w:tcPr>
            <w:tcW w:w="9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 and estimated fair value of the Company's short-term investments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2025</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Unrealized Gain</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197"/>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Short-term Investments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55,955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56,087</w:t>
            </w:r>
          </w:p>
        </w:tc>
      </w:tr>
      <w:tr>
        <w:trPr>
          <w:trHeight w:val="229"/>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62,483</w:t>
            </w:r>
          </w:p>
        </w:tc>
      </w:tr>
      <w:tr>
        <w:trPr>
          <w:trHeight w:val="21"/>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Unrealized Gain</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197"/>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Short-term Investments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9"/>
        </w:trPr>
        <w:tc>
          <w:tcPr>
            <w:tcW w:w="656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168,504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168,900</w:t>
            </w:r>
          </w:p>
        </w:tc>
      </w:tr>
      <w:tr>
        <w:trPr>
          <w:trHeight w:val="229"/>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10,509</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178,948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179,409</w:t>
            </w:r>
          </w:p>
        </w:tc>
      </w:tr>
      <w:tr>
        <w:trPr>
          <w:trHeight w:val="21"/>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did not have any short-term investments in unrealized loss positions as of December 31, 2025 and 2024. Generally, the Company does not intend to sell any short-term investments that have unrealized losses, and it is not more likely than not that the Company will be required to sell such securities before any anticipated recovery of the entire amortized cost basis.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material realized gains or losses from short-term investments that were reclassified out of accumulated other comprehensive income (loss) for the years ended December 31, 2025 and 2024. The Company determined that for its short-term investments, there were no material credit or non-credit related impairments as of December 31, 2025 and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stated maturities of the Company’s short-term investments: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2025</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2024</w:t>
            </w:r>
          </w:p>
        </w:tc>
        <w:tc>
          <w:tcPr>
            <w:tcW w:w="80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51"/>
        </w:trPr>
        <w:tc>
          <w:tcPr>
            <w:tcW w:w="50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113,015</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179,409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December 31, 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Fair Value</w:t>
            </w:r>
          </w:p>
        </w:tc>
      </w:tr>
      <w:tr>
        <w:trPr>
          <w:trHeight w:val="197"/>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equivalents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292,381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292,381</w:t>
            </w: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96,042</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41,450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41,450</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35,213</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16,059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16,059</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Short-term investments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56,087</w:t>
            </w: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45,786</w:t>
            </w:r>
          </w:p>
        </w:tc>
      </w:tr>
      <w:tr>
        <w:trPr>
          <w:trHeight w:val="223"/>
        </w:trPr>
        <w:tc>
          <w:tcPr>
            <w:tcW w:w="5020" w:type="dxa"/>
            <w:vAlign w:val="bottom"/>
          </w:tcPr>
          <w:p>
            <w:pPr>
              <w:ind w:left="46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490,296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99,118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589,414</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Fair Value</w:t>
            </w:r>
          </w:p>
        </w:tc>
      </w:tr>
      <w:tr>
        <w:trPr>
          <w:trHeight w:val="197"/>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equivalents</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458,195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458,195</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214,189</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53,238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53,238</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8,028</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Short-term investments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168,900</w:t>
            </w: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841,284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97,554</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938,838</w:t>
            </w:r>
          </w:p>
        </w:tc>
      </w:tr>
      <w:tr>
        <w:trPr>
          <w:trHeight w:val="21"/>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classifies money market funds, U.S. treasury bills, U.S. treasury securities, U.S. agency securities, asset-backed securities, certificates of deposit, commercial paper and corporate debt securities within Level 1 or Level 2 of the fair value hierarchy because the Company values these investments using quoted market prices or alternative pricing sources and models utilizing market observable inputs.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years ended December 31, 2025 and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7440" w:firstLine="8"/>
        <w:spacing w:after="0" w:line="375" w:lineRule="auto"/>
        <w:tabs>
          <w:tab w:leader="none" w:pos="2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Balance Sheet Components </w:t>
      </w:r>
      <w:r>
        <w:rPr>
          <w:rFonts w:ascii="Arial" w:cs="Arial" w:eastAsia="Arial" w:hAnsi="Arial"/>
          <w:sz w:val="18"/>
          <w:szCs w:val="18"/>
          <w:b w:val="1"/>
          <w:bCs w:val="1"/>
          <w:i w:val="1"/>
          <w:iCs w:val="1"/>
          <w:color w:val="auto"/>
        </w:rPr>
        <w:t>Prepaid Expenses and Other Current Assets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hosting and data costs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3"/>
        </w:trPr>
        <w:tc>
          <w:tcPr>
            <w:tcW w:w="81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25,405</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14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and purchased software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w:t>
            </w:r>
          </w:p>
        </w:tc>
        <w:tc>
          <w:tcPr>
            <w:tcW w:w="0" w:type="dxa"/>
            <w:vAlign w:val="bottom"/>
          </w:tcPr>
          <w:p>
            <w:pPr>
              <w:spacing w:after="0"/>
              <w:rPr>
                <w:sz w:val="1"/>
                <w:szCs w:val="1"/>
                <w:color w:val="auto"/>
              </w:rPr>
            </w:pP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 gross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67,350</w:t>
            </w:r>
          </w:p>
        </w:tc>
        <w:tc>
          <w:tcPr>
            <w:tcW w:w="0" w:type="dxa"/>
            <w:vAlign w:val="bottom"/>
          </w:tcPr>
          <w:p>
            <w:pPr>
              <w:spacing w:after="0"/>
              <w:rPr>
                <w:sz w:val="1"/>
                <w:szCs w:val="1"/>
                <w:color w:val="auto"/>
              </w:rPr>
            </w:pP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(29,827)</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related to property and equipment was $19.8 million, $11.6 million, and $5.4 million for the years ended December 31, 2025, 2024, and 2023, respectively.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capitalized $39.8 million and $25.9 million as internal-use software development costs during the years ended December 31, 2025 and 2024,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noncurrent</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70"/>
        </w:trPr>
        <w:tc>
          <w:tcPr>
            <w:tcW w:w="38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4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4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20,375</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4260" w:type="dxa"/>
            <w:vAlign w:val="bottom"/>
            <w:vMerge w:val="restart"/>
          </w:tcPr>
          <w:p>
            <w:pPr>
              <w:jc w:val="right"/>
              <w:ind w:right="2330"/>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38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8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costs of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85,745</w:t>
            </w:r>
          </w:p>
        </w:tc>
        <w:tc>
          <w:tcPr>
            <w:tcW w:w="0" w:type="dxa"/>
            <w:vAlign w:val="bottom"/>
          </w:tcPr>
          <w:p>
            <w:pPr>
              <w:spacing w:after="0"/>
              <w:rPr>
                <w:sz w:val="1"/>
                <w:szCs w:val="1"/>
                <w:color w:val="auto"/>
              </w:rPr>
            </w:pP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47,702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45,754</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Accrued tax liabilities</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Issuing Banks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Contingent consideration liability (see Note 4)</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Holdback consideration liability (see Note 4)</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Reserve for contract contingencies and processing errors</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177,059</w:t>
            </w:r>
          </w:p>
        </w:tc>
        <w:tc>
          <w:tcPr>
            <w:tcW w:w="0" w:type="dxa"/>
            <w:vAlign w:val="bottom"/>
          </w:tcPr>
          <w:p>
            <w:pPr>
              <w:spacing w:after="0"/>
              <w:rPr>
                <w:sz w:val="1"/>
                <w:szCs w:val="1"/>
                <w:color w:val="auto"/>
              </w:rPr>
            </w:pPr>
          </w:p>
        </w:tc>
      </w:tr>
      <w:tr>
        <w:trPr>
          <w:trHeight w:val="21"/>
        </w:trPr>
        <w:tc>
          <w:tcPr>
            <w:tcW w:w="8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Liabilities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140" w:type="dxa"/>
            <w:vAlign w:val="bottom"/>
          </w:tcPr>
          <w:p>
            <w:pPr>
              <w:spacing w:after="0"/>
              <w:rPr>
                <w:sz w:val="20"/>
                <w:szCs w:val="20"/>
                <w:color w:val="auto"/>
              </w:rPr>
            </w:pPr>
            <w:r>
              <w:rPr>
                <w:rFonts w:ascii="Arial" w:cs="Arial" w:eastAsia="Arial" w:hAnsi="Arial"/>
                <w:sz w:val="18"/>
                <w:szCs w:val="18"/>
                <w:color w:val="auto"/>
              </w:rPr>
              <w:t>Other liabilities consisted of the following:</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leases office space under non-cancelable operating lease agreements, which are classified as operating leases. The most significant lease relates to the Company’s headquarters in Oakland, California (the “Oakland Lease”).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Oakland Headquarters Lease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2024, the Company decided to permanently cease using two leased floors of its Oakland headquarters. This decision represented a triggering event that required the Company to test the related asset group, consisting primarily of the right-of-use asset and leasehold improvements, for impairment. As a result of this assessment, the Company recognized an impairment charge of $1.4 million, which was included within Occupancy expense in the Consolidated Statement of Operations and Comprehensive (Loss) Income for the year ended December 31, 2024. The estimated fair value of the right-of-use asset was measured on a nonrecurring basis determined using Level 3 inputs under the income approach, incorporating probability-weighted discounted cash flow projections over the remaining lease term.</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2025, the Company amended its Oakland Lease, extending the term for certain retained floors by 24 months. The lease modification was not accounted for as a separate contract, and the extension has been accounted for as an operating lease. Accordingly, the Company recorded an increase to the Operating lease right-of-use assets, net and Operating lease liabilities, net of current portion in the Consolidated Balance Sheet of approximately $3.5 million, representing the present value of the additional lease payments associated with the 24-month extension.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TransactPay Assumed Leases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of TransactPay (see Note 4, “Business Combinations,” for further details), the Company assumed two operating leases for office space in Malta and Gibraltar expiring in October 2029 and October 2035, respectively. These lease arrangements consist primarily of fixed rental payments in exchange for the right to use the underlying leased assets over the respective lease terms, with no significant variable lease payments or purchase options. As of the acquisition date, the Company recognized right-of-use assets and corresponding operating lease liabilities of $2.5 million based on the present value of the remaining lease payments.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lease costs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impairment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58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 (in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5"/>
              </w:rPr>
              <w:t>1.1</w:t>
            </w:r>
          </w:p>
        </w:tc>
      </w:tr>
      <w:tr>
        <w:trPr>
          <w:trHeight w:val="239"/>
        </w:trPr>
        <w:tc>
          <w:tcPr>
            <w:tcW w:w="81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3"/>
              <w:spacing w:after="0"/>
              <w:rPr>
                <w:sz w:val="20"/>
                <w:szCs w:val="20"/>
                <w:color w:val="auto"/>
              </w:rPr>
            </w:pPr>
            <w:r>
              <w:rPr>
                <w:rFonts w:ascii="Arial" w:cs="Arial" w:eastAsia="Arial" w:hAnsi="Arial"/>
                <w:sz w:val="18"/>
                <w:szCs w:val="18"/>
                <w:color w:val="auto"/>
                <w:w w:val="97"/>
              </w:rPr>
              <w:t>7.6%</w:t>
            </w:r>
          </w:p>
        </w:tc>
      </w:tr>
      <w:tr>
        <w:trPr>
          <w:trHeight w:val="400"/>
        </w:trPr>
        <w:tc>
          <w:tcPr>
            <w:tcW w:w="8180" w:type="dxa"/>
            <w:vAlign w:val="bottom"/>
          </w:tcPr>
          <w:p>
            <w:pPr>
              <w:spacing w:after="0"/>
              <w:rPr>
                <w:sz w:val="20"/>
                <w:szCs w:val="20"/>
                <w:color w:val="auto"/>
              </w:rPr>
            </w:pPr>
            <w:r>
              <w:rPr>
                <w:rFonts w:ascii="Arial" w:cs="Arial" w:eastAsia="Arial" w:hAnsi="Arial"/>
                <w:sz w:val="18"/>
                <w:szCs w:val="18"/>
                <w:color w:val="auto"/>
              </w:rPr>
              <w:t>Maturities of operating lease liabilities by year are as follows as of December 31, 2025:</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1"/>
        </w:trPr>
        <w:tc>
          <w:tcPr>
            <w:tcW w:w="8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3,391</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2027</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2,898</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2029</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348</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 and thereafter</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1,626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9,458</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(901)</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8,557</w:t>
            </w:r>
          </w:p>
        </w:tc>
      </w:tr>
      <w:tr>
        <w:trPr>
          <w:trHeight w:val="20"/>
        </w:trPr>
        <w:tc>
          <w:tcPr>
            <w:tcW w:w="8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7920" w:firstLine="8"/>
        <w:spacing w:after="0" w:line="375" w:lineRule="auto"/>
        <w:tabs>
          <w:tab w:leader="none" w:pos="45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Letters of Credit and Restricted Cash</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Oakland lease, the Company is required to provide the landlord a letter of credit in the amount of $ 1.5 million. The Company has secured this letter of credit by depositing $1.5 million with the issuing financial institution. In April 2025, the lease was amended, which extended the lease for a reduced amount of office space by two years. As part of the extension, the letter of credit will be reduced to $0.9 million effective on March 1, 2026, with an expiration date of February 2028. As of December 31, 2025, $0.9 million of restricted cash is recorded in other assets on the Consolidated Balance Sheet to reflect the extended obligation, while the remaining $0.6 million, not required after February 2026, is recorded in current assets as restricted cash.</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previously disclosed in Note 2, “Summary of Significant Accounting Policies” and Note 4, “Business Combinations”, restricted cash also includes customer funds held by TransactPay in segregated accounts held to meet its safeguarding, collateral, or settlement requirements. As of December 31, 2025, the balance of restricted cash associated with these customer funds was $306.9 million, of which $45.8 million is invested in money market funds.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the Company had non-cancellable purchase commitments with certain service providers and Issuing Banks of $107.1 million, payable over the next 3 years. These purchase obligations include $92.4 million related to minimum commitments as part of a cloud-computing service agreement. The remaining obligations are related to various service providers and Issuing Banks processing fees over the fixed, non-cancellable respective contract terms.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years ended December 31, 2025, 2024, and 2023, the Company contributed a total of $5.5 million, $5.0 million, and $5.5 million to its defined contribution plans,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From time to time in the normal course of business, the Company may be subject to various legal matters such as threatened or pending claims or proceedings. </w:t>
      </w:r>
      <w:r>
        <w:rPr>
          <w:rFonts w:ascii="Arial" w:cs="Arial" w:eastAsia="Arial" w:hAnsi="Arial"/>
          <w:sz w:val="18"/>
          <w:szCs w:val="18"/>
          <w:color w:val="231F20"/>
        </w:rPr>
        <w:t>Given the unpredictable nature of legal proceedings, the Company bases its assessment on the information available</w:t>
      </w:r>
      <w:r>
        <w:rPr>
          <w:rFonts w:ascii="Arial" w:cs="Arial" w:eastAsia="Arial" w:hAnsi="Arial"/>
          <w:sz w:val="18"/>
          <w:szCs w:val="18"/>
          <w:color w:val="auto"/>
        </w:rPr>
        <w:t xml:space="preserve"> </w:t>
      </w:r>
      <w:r>
        <w:rPr>
          <w:rFonts w:ascii="Arial" w:cs="Arial" w:eastAsia="Arial" w:hAnsi="Arial"/>
          <w:sz w:val="18"/>
          <w:szCs w:val="18"/>
          <w:color w:val="231F20"/>
        </w:rPr>
        <w:t>at the time the financials are available to be issued. As additional information becomes available, the Company reassesses the probability of the loss contingency and the potential liability, and may revise the estimate. The Company is currently involved in the following matters: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 xml:space="preserve">On December 9, 2024, a putative securities class action lawsuit, captioned </w:t>
      </w:r>
      <w:r>
        <w:rPr>
          <w:rFonts w:ascii="Arial" w:cs="Arial" w:eastAsia="Arial" w:hAnsi="Arial"/>
          <w:sz w:val="18"/>
          <w:szCs w:val="18"/>
          <w:i w:val="1"/>
          <w:iCs w:val="1"/>
          <w:color w:val="231F20"/>
        </w:rPr>
        <w:t>Wai v. Marqeta, Inc., et al.</w:t>
      </w:r>
      <w:r>
        <w:rPr>
          <w:rFonts w:ascii="Arial" w:cs="Arial" w:eastAsia="Arial" w:hAnsi="Arial"/>
          <w:sz w:val="18"/>
          <w:szCs w:val="18"/>
          <w:color w:val="231F20"/>
        </w:rPr>
        <w:t>, Case No. 24-cv-08874 (N.D. Cal.), was filed in federal court in the Northern District of California (“Court”) against the Company and certain of its current and former officers (“Defendants”) alleging violations of federal securities laws. The lawsuit asserts that during the putative class period of between August 7, 2024 and November 4, 2024, Defendants made false or misleading statements relating to the Company’s performance or revenue and gross profit expectations in violation of Sections 10(b) and 20(a) of the Securities Exchange Act of 1934 and Rule 10b-5 promulgated thereunder.</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On December 10, 2024, a second putative securities class action lawsuit, captioned </w:t>
      </w:r>
      <w:r>
        <w:rPr>
          <w:rFonts w:ascii="Arial" w:cs="Arial" w:eastAsia="Arial" w:hAnsi="Arial"/>
          <w:sz w:val="18"/>
          <w:szCs w:val="18"/>
          <w:i w:val="1"/>
          <w:iCs w:val="1"/>
          <w:color w:val="231F20"/>
        </w:rPr>
        <w:t>Ford v. Marqeta, Inc., et al.</w:t>
      </w:r>
      <w:r>
        <w:rPr>
          <w:rFonts w:ascii="Arial" w:cs="Arial" w:eastAsia="Arial" w:hAnsi="Arial"/>
          <w:sz w:val="18"/>
          <w:szCs w:val="18"/>
          <w:color w:val="231F20"/>
        </w:rPr>
        <w:t xml:space="preserve">, Case No. 24-cv-08892 (N.D. Cal.), was filed in the same Court against the same Defendants alleging violations of the same federal securities laws. The second lawsuit asserts similar theories of liability as the first lawsuit but alleges a broader putative class period of between May 7, 2024 and November 4, 2024 and some additional and/or different allegations on which the claims are based. Both lawsuits (collectively, the “Securities Actions”) seek to recover damages on behalf of shareholders who acquired shares of the Company’s common stock during their respective putative class periods. </w:t>
      </w:r>
      <w:r>
        <w:rPr>
          <w:rFonts w:ascii="Arial" w:cs="Arial" w:eastAsia="Arial" w:hAnsi="Arial"/>
          <w:sz w:val="18"/>
          <w:szCs w:val="18"/>
          <w:color w:val="000000"/>
        </w:rPr>
        <w:t>The Securities Actions have been consolidated into one consolidated securities litigation captioned</w:t>
      </w:r>
      <w:r>
        <w:rPr>
          <w:rFonts w:ascii="Arial" w:cs="Arial" w:eastAsia="Arial" w:hAnsi="Arial"/>
          <w:sz w:val="18"/>
          <w:szCs w:val="18"/>
          <w:color w:val="231F20"/>
        </w:rPr>
        <w:t xml:space="preserve"> </w:t>
      </w:r>
      <w:r>
        <w:rPr>
          <w:rFonts w:ascii="Arial" w:cs="Arial" w:eastAsia="Arial" w:hAnsi="Arial"/>
          <w:sz w:val="18"/>
          <w:szCs w:val="18"/>
          <w:i w:val="1"/>
          <w:iCs w:val="1"/>
          <w:color w:val="000000"/>
        </w:rPr>
        <w:t>In re Marqeta, Inc.</w:t>
      </w:r>
      <w:r>
        <w:rPr>
          <w:rFonts w:ascii="Arial" w:cs="Arial" w:eastAsia="Arial" w:hAnsi="Arial"/>
          <w:sz w:val="18"/>
          <w:szCs w:val="18"/>
          <w:color w:val="231F20"/>
        </w:rPr>
        <w:t xml:space="preserve"> </w:t>
      </w:r>
      <w:r>
        <w:rPr>
          <w:rFonts w:ascii="Arial" w:cs="Arial" w:eastAsia="Arial" w:hAnsi="Arial"/>
          <w:sz w:val="18"/>
          <w:szCs w:val="18"/>
          <w:i w:val="1"/>
          <w:iCs w:val="1"/>
          <w:color w:val="000000"/>
        </w:rPr>
        <w:t>Securities Litigation</w:t>
      </w:r>
      <w:r>
        <w:rPr>
          <w:rFonts w:ascii="Arial" w:cs="Arial" w:eastAsia="Arial" w:hAnsi="Arial"/>
          <w:sz w:val="18"/>
          <w:szCs w:val="18"/>
          <w:color w:val="000000"/>
        </w:rPr>
        <w:t>, Case No. 24-08874-YGR (N.D. Cal) and the Court has appointed a lead plaintiff and lead plaintiff’s counsel in the</w:t>
      </w:r>
      <w:r>
        <w:rPr>
          <w:rFonts w:ascii="Arial" w:cs="Arial" w:eastAsia="Arial" w:hAnsi="Arial"/>
          <w:sz w:val="18"/>
          <w:szCs w:val="18"/>
          <w:i w:val="1"/>
          <w:iCs w:val="1"/>
          <w:color w:val="000000"/>
        </w:rPr>
        <w:t xml:space="preserve"> </w:t>
      </w:r>
      <w:r>
        <w:rPr>
          <w:rFonts w:ascii="Arial" w:cs="Arial" w:eastAsia="Arial" w:hAnsi="Arial"/>
          <w:sz w:val="18"/>
          <w:szCs w:val="18"/>
          <w:color w:val="000000"/>
        </w:rPr>
        <w:t>matter. On April 10, 2025, the lead plaintiff filed a consolidated amended complaint, which alleges a putative class period of between February 28, 2024 and November 4, 2024. We and the other Defendants filed a motion to dismiss the consolidated amended complaint on May 15, 2025.</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3, 2025, a settlement was reached, in principle, with the lead plaintiff’s counsel to resolve the Securities Actions for payments totaling $13.0 million, subject to further documentation and judicial approvals. The Company’s Directors and Officers insurance policy includes a $5.0 million self-insured retention that applies to covered losses related to the Securities Actions, including legal defense fees and settlement payments. If finalized, the settlement will be funded by insurance less the self-insured retention.</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 ended December 31, 2025, the Company recognized $5.0 million of legal and litigation expenses related to this matter, which are included in other operating expenses within the Consolidated Statement of Operations and Comprehensive (Loss) Income. This amount represents the Company’s probable loss corresponding to its $5.0 million self-insured retention.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2025, the Company recorded a $13.0 million settlement liability within accrued expenses and other current liabilities and a corresponding $9.3 million insurance recovery receivable within prepaid expenses and other current assets on the Consolidated Balance Sheet. The receivable represents the portion of settlement expected to be covered by insurance, determined by applying legal fees incurred through December 31, 2025, toward the self-insured retention. As additional legal fees are incurred beyond this date, they will further reduce the remaining self-insured retention, resulting in a corresponding increase to the receivable balance.</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4, 2025, a putative shareholder derivative lawsuit, capti</w:t>
      </w:r>
      <w:r>
        <w:rPr>
          <w:rFonts w:ascii="Arial" w:cs="Arial" w:eastAsia="Arial" w:hAnsi="Arial"/>
          <w:sz w:val="18"/>
          <w:szCs w:val="18"/>
          <w:color w:val="231F20"/>
        </w:rPr>
        <w:t>oned</w:t>
      </w:r>
      <w:r>
        <w:rPr>
          <w:rFonts w:ascii="Arial" w:cs="Arial" w:eastAsia="Arial" w:hAnsi="Arial"/>
          <w:sz w:val="18"/>
          <w:szCs w:val="18"/>
          <w:color w:val="auto"/>
        </w:rPr>
        <w:t xml:space="preserve"> </w:t>
      </w:r>
      <w:r>
        <w:rPr>
          <w:rFonts w:ascii="Arial" w:cs="Arial" w:eastAsia="Arial" w:hAnsi="Arial"/>
          <w:sz w:val="18"/>
          <w:szCs w:val="18"/>
          <w:i w:val="1"/>
          <w:iCs w:val="1"/>
          <w:color w:val="231F20"/>
        </w:rPr>
        <w:t>Smith v. Khalaf, et al.</w:t>
      </w:r>
      <w:r>
        <w:rPr>
          <w:rFonts w:ascii="Arial" w:cs="Arial" w:eastAsia="Arial" w:hAnsi="Arial"/>
          <w:sz w:val="18"/>
          <w:szCs w:val="18"/>
          <w:color w:val="231F20"/>
        </w:rPr>
        <w:t>, Case No. 25-cv-01174 (N.D. Cal.), was filed</w:t>
      </w:r>
      <w:r>
        <w:rPr>
          <w:rFonts w:ascii="Arial" w:cs="Arial" w:eastAsia="Arial" w:hAnsi="Arial"/>
          <w:sz w:val="18"/>
          <w:szCs w:val="18"/>
          <w:color w:val="auto"/>
        </w:rPr>
        <w:t xml:space="preserve"> </w:t>
      </w:r>
      <w:r>
        <w:rPr>
          <w:rFonts w:ascii="Arial" w:cs="Arial" w:eastAsia="Arial" w:hAnsi="Arial"/>
          <w:sz w:val="18"/>
          <w:szCs w:val="18"/>
          <w:color w:val="231F20"/>
        </w:rPr>
        <w:t xml:space="preserve">in the same Court against certain of the Company’s current and former officers and its Board of Directors (as then constituted), and named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 captioned </w:t>
      </w:r>
      <w:r>
        <w:rPr>
          <w:rFonts w:ascii="Arial" w:cs="Arial" w:eastAsia="Arial" w:hAnsi="Arial"/>
          <w:sz w:val="18"/>
          <w:szCs w:val="18"/>
          <w:i w:val="1"/>
          <w:iCs w:val="1"/>
          <w:color w:val="231F20"/>
        </w:rPr>
        <w:t>Ojserkis v. Khalaf, et al.</w:t>
      </w:r>
      <w:r>
        <w:rPr>
          <w:rFonts w:ascii="Arial" w:cs="Arial" w:eastAsia="Arial" w:hAnsi="Arial"/>
          <w:sz w:val="18"/>
          <w:szCs w:val="18"/>
          <w:color w:val="231F20"/>
        </w:rPr>
        <w:t xml:space="preserve">, Case No. 25-cv-01883 (N.D. Cal.) </w:t>
      </w:r>
      <w:r>
        <w:rPr>
          <w:rFonts w:ascii="Arial" w:cs="Arial" w:eastAsia="Arial" w:hAnsi="Arial"/>
          <w:sz w:val="18"/>
          <w:szCs w:val="18"/>
          <w:color w:val="000000"/>
        </w:rPr>
        <w:t>and</w:t>
      </w:r>
      <w:r>
        <w:rPr>
          <w:rFonts w:ascii="Arial" w:cs="Arial" w:eastAsia="Arial" w:hAnsi="Arial"/>
          <w:sz w:val="18"/>
          <w:szCs w:val="18"/>
          <w:color w:val="231F20"/>
        </w:rPr>
        <w:t xml:space="preserve"> </w:t>
      </w:r>
      <w:r>
        <w:rPr>
          <w:rFonts w:ascii="Arial" w:cs="Arial" w:eastAsia="Arial" w:hAnsi="Arial"/>
          <w:sz w:val="18"/>
          <w:szCs w:val="18"/>
          <w:i w:val="1"/>
          <w:iCs w:val="1"/>
          <w:color w:val="000000"/>
        </w:rPr>
        <w:t>Preciado v. Khalaf, et al.</w:t>
      </w:r>
      <w:r>
        <w:rPr>
          <w:rFonts w:ascii="Arial" w:cs="Arial" w:eastAsia="Arial" w:hAnsi="Arial"/>
          <w:sz w:val="18"/>
          <w:szCs w:val="18"/>
          <w:color w:val="000000"/>
        </w:rPr>
        <w:t>, Case No. 3:25-cv-02100 (N.D. Cal.)</w:t>
      </w:r>
      <w:r>
        <w:rPr>
          <w:rFonts w:ascii="Arial" w:cs="Arial" w:eastAsia="Arial" w:hAnsi="Arial"/>
          <w:sz w:val="18"/>
          <w:szCs w:val="18"/>
          <w:i w:val="1"/>
          <w:iCs w:val="1"/>
          <w:color w:val="000000"/>
        </w:rPr>
        <w:t xml:space="preserve"> </w:t>
      </w:r>
      <w:r>
        <w:rPr>
          <w:rFonts w:ascii="Arial" w:cs="Arial" w:eastAsia="Arial" w:hAnsi="Arial"/>
          <w:sz w:val="18"/>
          <w:szCs w:val="18"/>
          <w:color w:val="231F20"/>
        </w:rPr>
        <w:t>were filed on February 21, 2025 and February 27, 2025, respectively.</w:t>
      </w:r>
      <w:r>
        <w:rPr>
          <w:rFonts w:ascii="Arial" w:cs="Arial" w:eastAsia="Arial" w:hAnsi="Arial"/>
          <w:sz w:val="18"/>
          <w:szCs w:val="18"/>
          <w:i w:val="1"/>
          <w:iCs w:val="1"/>
          <w:color w:val="000000"/>
        </w:rPr>
        <w:t xml:space="preserve"> </w:t>
      </w:r>
      <w:r>
        <w:rPr>
          <w:rFonts w:ascii="Arial" w:cs="Arial" w:eastAsia="Arial" w:hAnsi="Arial"/>
          <w:sz w:val="18"/>
          <w:szCs w:val="18"/>
          <w:color w:val="000000"/>
        </w:rPr>
        <w:t>All three</w:t>
      </w:r>
      <w:r>
        <w:rPr>
          <w:rFonts w:ascii="Arial" w:cs="Arial" w:eastAsia="Arial" w:hAnsi="Arial"/>
          <w:sz w:val="18"/>
          <w:szCs w:val="18"/>
          <w:i w:val="1"/>
          <w:iCs w:val="1"/>
          <w:color w:val="000000"/>
        </w:rPr>
        <w:t xml:space="preserve"> </w:t>
      </w:r>
      <w:r>
        <w:rPr>
          <w:rFonts w:ascii="Arial" w:cs="Arial" w:eastAsia="Arial" w:hAnsi="Arial"/>
          <w:sz w:val="18"/>
          <w:szCs w:val="18"/>
          <w:color w:val="000000"/>
        </w:rPr>
        <w:t xml:space="preserve">putative shareholder derivative suits have been consolidated into one lawsuit captioned </w:t>
      </w:r>
      <w:r>
        <w:rPr>
          <w:rFonts w:ascii="Arial" w:cs="Arial" w:eastAsia="Arial" w:hAnsi="Arial"/>
          <w:sz w:val="18"/>
          <w:szCs w:val="18"/>
          <w:i w:val="1"/>
          <w:iCs w:val="1"/>
          <w:color w:val="000000"/>
        </w:rPr>
        <w:t>In re Marqeta, Inc. Derivative Litigation</w:t>
      </w:r>
      <w:r>
        <w:rPr>
          <w:rFonts w:ascii="Arial" w:cs="Arial" w:eastAsia="Arial" w:hAnsi="Arial"/>
          <w:sz w:val="18"/>
          <w:szCs w:val="18"/>
          <w:color w:val="000000"/>
        </w:rPr>
        <w:t>, Case No. 4:25-cv-01174-YGR (N.D. Cal). The consolidated derivative action is currently stayed pending developments in the consolidated Securities Actions.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Payment Transactions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in Note 2, “Summary of Significant Accounting Policies,” pre-funding amounts deposited by program management customers into accounts maintained at Issuing Banks may only be used to settle customers’ payment transactions, and are not subject to the same safeguarding regulations as TransactPay’s customer funds, and as such, are not considered assets of the Company. Accordingly,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 The Company did not incur losses of this nature during the years ended December 31, 2025, 2024 and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the Issuing Bank for losses such Issuing Bank may incur for non-compliance with applicable law and regulations, if those losses resulted from the Company’s failure to perform under its program agreement. No significant claims have been incurred during the years ended December 31, 2025, 2024 and 2023.</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As of December 31, 2025 and 2024, no demands have been made upon the Company to provide indemnification under such agreements, and the Company is not aware of any claims that could have a material effect on its Consolidated Balance Sheets, Consolidated Statements of Operations and Comprehensive (Loss) Income, or Consolidated Statements of Cash Flows.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 outlined in their respective agreements. No material credits were issued during the years ended December 31, 2025, 2024 and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grants share-based awards to employees, non-employee directors, and other service providers of the Company under the 2021 Stock Option and Incentive Plan (“2021 Plan”). The Amended and Restated 2011 Equity Incentive Plan (“2011 Plan”) had been terminated, and no new awards are granted under it. However, previously granted awards that remain outstanding continue to be governed by the terms of the 2011 Plan. Additionally, the Company offers an ESPP, which allows employees to purchase shares of common stock at 85% of the fair value of the Company’s Class A common stock on the first or last day of the offering period, whichever is lower. The offering periods are six months long and start in May and November of each year.</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the share-based compensation expense recognized within the following line items in the Consolidated Statements of Operations and Comprehensive (Loss) Income and Consolidated Balance Sheet in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99,648</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26,323</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recorded within 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127,525</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Executive chairman long-term performance award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53,214</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(capitalized internal-use software)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share-based compensation expense (benefit)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115,964</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185,231</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grants RSUs to employees, directors, and certain consultants. RSUs vest solely upon the satisfaction of service-based conditions and are generally subject to a vesting schedule of three or four years.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RSUs granted on or after the Company’s IPO in 2021, as well as any remaining pre-IPO RSU grants, contain only service-based vesting condition. The liquidity-based vesting condition that previously applied to RSUs granted before April 1, 2021 was fully satisfied upon the Company’s IPO in 2021.</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RSUs is based on the closing price of the Company’s Class A common stock on the grant date and is recognized as share-based compensation over the requisite service period on straight-line basis for awards with only a service vesting condition.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Restricted Stock Units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grants PSUs under the 2021 Plan to certain employees of the Company based on an initial target number. The final number of PSUs that may vest and settle depend upon the Company’s performance against pre-established performance metrics over a predefined performance period, contingent on the compensation committee’s approval of the level of achievement against the pre-established performance targets at the end of the fiscal year. The PSUs granted vest over three years and have a one year performance period with one-third of the PSUs subject to cliff vesting following the completion of the performance period then vesting in equal quarterly installments thereafter. Over the performance period, the number of PSUs that may be issued and the related share-based compensation expense that is recognized is adjusted upward or downward based upon the probability of achieving the approved performance targets against the performance metrics. Depending on the probability of achieving the pre-established performance targets, the number of PSUs issued could range from 0% to 200% of the target amount.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PSUs activity under the Plans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12"/>
                <w:szCs w:val="12"/>
                <w:color w:val="auto"/>
              </w:rPr>
            </w:pPr>
          </w:p>
        </w:tc>
        <w:tc>
          <w:tcPr>
            <w:tcW w:w="1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2"/>
                <w:szCs w:val="12"/>
                <w:color w:val="auto"/>
              </w:rPr>
            </w:pPr>
          </w:p>
        </w:tc>
        <w:tc>
          <w:tcPr>
            <w:tcW w:w="15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22,442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24,589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unrecognized compensation costs related to unvested RSUs and PSUs was $124.1 million. These costs are expected to be recognized over a weighted-average period of 1.7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Plans, the exercise price of a stock option shall not be less than the fair market value per share of the Company’s common stock on the date of grant (and not less than 110% of the fair market value per share of common stock for grants to stockholders owning more than 10% of the total combined voting power of all classes of stock of the Company, or a 10% stockholder). Options are exercisable over periods not to exceed ten years from the date of grant (five years for incentive stock options granted to 10% stockholders).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under the Plans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15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Exercise Price per</w:t>
            </w: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Life</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7"/>
                <w:szCs w:val="17"/>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and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30" w:lineRule="exact"/>
              <w:rPr>
                <w:sz w:val="20"/>
                <w:szCs w:val="20"/>
                <w:color w:val="auto"/>
              </w:rPr>
            </w:pPr>
            <w:r>
              <w:rPr>
                <w:rFonts w:ascii="Arial" w:cs="Arial" w:eastAsia="Arial" w:hAnsi="Arial"/>
                <w:sz w:val="18"/>
                <w:szCs w:val="18"/>
                <w:color w:val="auto"/>
              </w:rPr>
              <w:t>Exercisable as of December 31, 2025</w:t>
            </w:r>
            <w:r>
              <w:rPr>
                <w:rFonts w:ascii="Arial" w:cs="Arial" w:eastAsia="Arial" w:hAnsi="Arial"/>
                <w:sz w:val="23"/>
                <w:szCs w:val="23"/>
                <w:color w:val="auto"/>
                <w:vertAlign w:val="superscript"/>
              </w:rPr>
              <w:t>(2)</w:t>
            </w:r>
          </w:p>
        </w:tc>
        <w:tc>
          <w:tcPr>
            <w:tcW w:w="1460" w:type="dxa"/>
            <w:vAlign w:val="bottom"/>
          </w:tcPr>
          <w:p>
            <w:pPr>
              <w:jc w:val="right"/>
              <w:spacing w:after="0"/>
              <w:rPr>
                <w:sz w:val="20"/>
                <w:szCs w:val="20"/>
                <w:color w:val="auto"/>
              </w:rPr>
            </w:pPr>
            <w:r>
              <w:rPr>
                <w:rFonts w:ascii="Arial" w:cs="Arial" w:eastAsia="Arial" w:hAnsi="Arial"/>
                <w:sz w:val="18"/>
                <w:szCs w:val="18"/>
                <w:color w:val="auto"/>
              </w:rPr>
              <w:t>7,567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December 31, 2025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8"/>
        <w:spacing w:after="0" w:line="260" w:lineRule="auto"/>
        <w:tabs>
          <w:tab w:leader="none" w:pos="175"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Intrinsic value is calculated based on the difference between the exercise price of in-the-money-stock options and the fair value of the common stock as of the respective balance sheet dates.</w:t>
      </w:r>
    </w:p>
    <w:p>
      <w:pPr>
        <w:spacing w:after="0" w:line="77" w:lineRule="exact"/>
        <w:rPr>
          <w:rFonts w:ascii="Arial" w:cs="Arial" w:eastAsia="Arial" w:hAnsi="Arial"/>
          <w:sz w:val="20"/>
          <w:szCs w:val="20"/>
          <w:color w:val="auto"/>
          <w:vertAlign w:val="superscript"/>
        </w:rPr>
      </w:pPr>
    </w:p>
    <w:p>
      <w:pPr>
        <w:ind w:firstLine="8"/>
        <w:spacing w:after="0" w:line="229" w:lineRule="auto"/>
        <w:tabs>
          <w:tab w:leader="none" w:pos="193"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The 2011 Plan allows for early exercise of stock options. Accordingly, options granted under this plan are included as exercisable stock options regardless of vesting status.</w:t>
      </w:r>
    </w:p>
    <w:p>
      <w:pPr>
        <w:spacing w:after="0" w:line="7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total intrinsic value of options exercised during the years ended December 31, 2025, 2024, and 2023, was $0.7 million, $0.8 million, and $12.2 million, respectively.</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total grant-date fair value of options vested during the years ended December 31, 2025, 2024, and 2023, was $25.2 million, $42.4 million, and $61.8 million,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aggregate unrecognized compensation costs related to unvested outstanding stock options was $2.3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weighted-average period of 0.9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stock options during the years ended December 31, 2025 and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Chairman Long-Term Performance Award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and May 2021, the Company’s board of directors granted the Company’s Executive Chairman and then-Chief Executive Officer (“CEO”) performance-based stock options to purchase an aggregate of 19,740,923 and 47,267 shares of the Company’s Class B common stock with an exercise price of $21.49 and $ 23.40 per share, respectively, (collectively, the “Executive Chairman Long-Term Performance Award”). The Executive Chairman Long-Term Performance Award would vest only upon the satisfaction of both a service condition and the achievement of certain stock price hurdles over a seven-year performance period following the expiration of the lock-up period associated with the Company’s IPO in 2021.</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2024, the Executive Chairman stepped down from his executive officer role and transitioned to a non-employee director role on the board of directors causing the Executive Chairman Long-Term Performance Award to be forfeited per its terms. As a result of the forfeiture, the Company reversed all previously recognized share-based compensation expense associated with the award, resulting in a one-time credit of $167.3 million, of which $144.6 million related to expense recognized in prior years. The Company accounts for forfeitures as they occur.</w:t>
      </w:r>
    </w:p>
    <w:p>
      <w:pPr>
        <w:spacing w:after="0" w:line="287" w:lineRule="exact"/>
        <w:rPr>
          <w:sz w:val="20"/>
          <w:szCs w:val="20"/>
          <w:color w:val="auto"/>
        </w:rPr>
      </w:pPr>
    </w:p>
    <w:p>
      <w:pPr>
        <w:ind w:right="7840" w:firstLine="8"/>
        <w:spacing w:after="0" w:line="397" w:lineRule="auto"/>
        <w:tabs>
          <w:tab w:leader="none" w:pos="45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Transactions </w:t>
      </w:r>
      <w:r>
        <w:rPr>
          <w:rFonts w:ascii="Arial" w:cs="Arial" w:eastAsia="Arial" w:hAnsi="Arial"/>
          <w:sz w:val="17"/>
          <w:szCs w:val="17"/>
          <w:b w:val="1"/>
          <w:bCs w:val="1"/>
          <w:i w:val="1"/>
          <w:iCs w:val="1"/>
          <w:color w:val="auto"/>
        </w:rPr>
        <w:t>Warrants to Purchase Common Stock</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2021 and 2020, the Company issued warrants to certain customers to purchase up to 1.2 million and 0.8 million shares of the Company’s common stock, respectively. These warrants vest based on certain performance conditions that include issuing a specific percentage of new cards on the Company’s platform over a defined measurement period and reaching certain annual transaction count thresholds over the contract term, respectively. All warrants have an exercise price of $0.01 per share. These warrants are classified as equity instruments and are treated as consideration payable to a customer. The grant date fair values of these warrants were determined using Black-Scholes option-pricing model with key assumptions including the fair value of the underlying common stock on the grant date, expected term, expected volatility and risk-free rate. The grant date fair values are being recorded as a reduction to net revenue over the term of the respective customer contract based on the expected pattern of processing volume generated by the customer and the probability of vesting conditions being met.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2025 and 2024, 1.3 million and 1.2 million warrants were vested, respectively. The Company recorded $2.1 million and $1.7 million as a reduction of net revenue related to these warrants during the years ended December 31, 2025 and 2024, respectively. Upon vesting, the fair value of the vested warrants was recorded into the Company’s additional paid-in capital. Timing differences caused by the pattern of processing volume generated by the customer over the original terms of the contract and the vesting schedules of the warrants can cause differences in the amount of grant date fair value that is credited to additional paid in capital upon vesting and the amount recorded as a reduction in net revenue during any particular reporting period.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there were no warrants outstanding, as all previously issued warrants which fully vested had expired unexercised.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2022, the Company’s Board of Directors authorized a share repurchase program of up to $100 million of the Company’s Class A common stock beginning September 15, 2022 (“2022 Share Repurchase Program”). Under the repurchase program, the Company was authorized to repurchase shares through open market purchases, in privately negotiated transactions or by other means, in accordance with applicable federal securities laws, including through trading plans under Rule 10b5-1 of the Securities and Exchange Act of 1934, as amended (the “Exchange Act”). The number of shares repurchased and the timing of purchases were based on general business and market conditions, and other factors, including legal requirements. Repurchases under the program were completed as of March 31, 2023.</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 ended December 31, 2023, the Company repurchased and subsequently retired 3.2 million shares for $21.0 million under the 2022 Share Repurchase Program, for an average price of $6.46.</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8, 2023, the Company’s board of directors authorized a share repurchase program of up to $200 million of the Company’s Class A common stock (“2023 Share Repurchase Program”). Under the 2023 Share Repurchase Program, the Company was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2023, the Company repurchased 31.3 million shares in the open market for $169.4 million under the 2023 Share Repurchase Program, for an average price of $5.41. During the year ended December 31, 2024 the Company repurchased 5.2 million shares in the open market for $32.8 million, including transaction costs and excise taxes, at an average price of $ 6.27 under the 2023 Share Repurchase Program. Repurchases under the 2023 Share Repurchase Program were completed as of March 31, 2024.</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6, 2024, the Company’s board of directors authorized a share repurchase program of up to $200 million of the Company’s Class A common stock (the “2024 Share Repurchase Program”). Under the 2024 Share Repurchase Program, the Company was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2024, the Company repurchased approximately 23.2 million shares in the open market and in privately negotiated transactions for $119.5 million under the 2024 Share Repurchase Program, for an average price of $5.16, respectively. The total price of the shares repurchased and the related transaction costs and excise taxes of $1.2 million during the year ended December 31, 2024 are reflected as a reduction to Common stock and Additional paid-in capital on the Company’s Consolidated Balance Sheets. During the year ended December 31, 2025, the Company repurchased approximately 19.2 million shares in the open market and in privately negotiated transactions for $80.5 million under the 2024 Share Repurchase Program, for an average price of $4.20, respectively. The total price of the shares repurchased and the related transaction costs and excise taxes of $1.1 million during the year ended December 31, 2025 are reflected as a reduction to Common stock and Additional paid-in capital on the Company’s Consolidated Balance Sheets. Repurchases under the 2024 Share Repurchase Program were completed as of March 31, 2025.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25, 2025, the Company’s Board of Directors authorized an additional share repurchase program of up to $300 million of the Company’s Class A common stock (the “February 2025 Share Repurchase Program”). Under the February 2025 Share Repurchase Program, the Company was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 The February 2025 Share Repurchase Program had no set expiration date.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2025, the Company repurchased approximately 63.9 million shares under the February 2025 Share Repurchase Program for $300.0 million, at an average price of $4.69 per share. The aggregate cost of the shares repurchased and the related transaction costs and excise taxes of $3.8 million during the year ended December 31, 2025, respectively, are reflected as a reduction to Common stock and Additional paid-in capital on the Company’s Consolidated Balance Sheet. Repurchases under the February 2025 Share Repurchase Program were completed during the fourth quarter of 2025.</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4, 2025, the Company’s Board of Directors authorized an additional share repurchase program of up to $100 million of the Company’s Class A common stock (the “December 2025 Share Repurchase Program”). Under the December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December 2025 Share Repurchase Program has no set expiration date.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2025, the Company repurchased approximately 1.7 million shares under the December 2025 Share Repurchase Program for $8.5 million, at an average price of $4.89 per share. The aggregate cost of the shares repurchased and the related transaction costs and excise taxes of $0.1 million during the year ended December 31, 2025, respectively, are reflected as a reduction to Common stock and Additional paid-in capital on the Company’s Consolidated Balance Sheet. As of December 31, 2025, $91.5 million remained available for future share repurchases under the December 2025 Share Repurchase Program.</w:t>
      </w:r>
    </w:p>
    <w:p>
      <w:pPr>
        <w:spacing w:after="0" w:line="28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second quarter of 2023, the Company approved a restructuring plan (the “Restructuring Plan”) intended to reduce operating expenses and improve profitability by reducing the Company’s workforce. The net restructuring charges incurred in connection with the Restructuring Plan was approximately $8.7 million, which was completed as of December 31, 2023.</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$8.7 million in restructuring charges during the year ended December 31, 2023, which consisted of $14.6 million primarily related to one-time severance and benefit payments, as well as a net reduction of stock-based compensation of $2.9 million related to the vesting of certain equity awards and the forfeiture of certain equity awards which were accounted for as it occurred. Additionally, the Company reduced previously accrued bonuses for impacted employees of $2.9 million due to the terms of the Restructuring Plan. These costs were included in Compensation and benefits in the Consolidated Statement of Operations and Comprehensive (Loss) Income.</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the Restructuring Plan was completed in 2023 and no further costs are expected, there were no material restructuring charges or related liabilities remaining as of December 31, 2025 or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 Attributable to Common Stockholders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income per share is computed by dividing the net (loss) income by the weighted-average number of shares of common stock outstanding during the period. Diluted net (loss) income per share is computed by dividing net (loss) income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were anti-dilutive.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Company calculated basic and diluted net (loss) income per share attributable to common stockholders as follows:</w:t>
      </w:r>
    </w:p>
    <w:p>
      <w:pPr>
        <w:spacing w:after="0" w:line="167"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2023</w:t>
            </w:r>
          </w:p>
        </w:tc>
      </w:tr>
      <w:tr>
        <w:trPr>
          <w:trHeight w:val="196"/>
        </w:trPr>
        <w:tc>
          <w:tcPr>
            <w:tcW w:w="34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Class A</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Class B</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Class A</w:t>
            </w: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Class B</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Class A</w:t>
            </w: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Class B</w:t>
            </w:r>
          </w:p>
        </w:tc>
      </w:tr>
    </w:tbl>
    <w:p>
      <w:pPr>
        <w:ind w:left="20"/>
        <w:spacing w:after="0"/>
        <w:rPr>
          <w:sz w:val="20"/>
          <w:szCs w:val="20"/>
          <w:color w:val="auto"/>
        </w:rPr>
      </w:pPr>
      <w:r>
        <w:rPr>
          <w:rFonts w:ascii="Arial" w:cs="Arial" w:eastAsia="Arial" w:hAnsi="Arial"/>
          <w:sz w:val="14"/>
          <w:szCs w:val="14"/>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2" w:lineRule="exact"/>
        <w:rPr>
          <w:sz w:val="20"/>
          <w:szCs w:val="20"/>
          <w:color w:val="auto"/>
        </w:rPr>
      </w:pPr>
    </w:p>
    <w:p>
      <w:pPr>
        <w:ind w:left="20" w:right="700"/>
        <w:spacing w:after="0" w:line="261" w:lineRule="auto"/>
        <w:rPr>
          <w:sz w:val="20"/>
          <w:szCs w:val="20"/>
          <w:color w:val="auto"/>
        </w:rPr>
      </w:pPr>
      <w:r>
        <w:rPr>
          <w:rFonts w:ascii="Arial" w:cs="Arial" w:eastAsia="Arial" w:hAnsi="Arial"/>
          <w:sz w:val="14"/>
          <w:szCs w:val="14"/>
          <w:color w:val="auto"/>
        </w:rPr>
        <w:t>Net (loss) income attributable to common stockholders, basic</w:t>
      </w:r>
    </w:p>
    <w:p>
      <w:pPr>
        <w:spacing w:after="0" w:line="1" w:lineRule="exact"/>
        <w:rPr>
          <w:sz w:val="20"/>
          <w:szCs w:val="20"/>
          <w:color w:val="auto"/>
        </w:rPr>
      </w:pPr>
    </w:p>
    <w:p>
      <w:pPr>
        <w:ind w:left="20" w:right="700"/>
        <w:spacing w:after="0" w:line="281" w:lineRule="auto"/>
        <w:rPr>
          <w:sz w:val="20"/>
          <w:szCs w:val="20"/>
          <w:color w:val="auto"/>
        </w:rPr>
      </w:pPr>
      <w:r>
        <w:rPr>
          <w:rFonts w:ascii="Arial" w:cs="Arial" w:eastAsia="Arial" w:hAnsi="Arial"/>
          <w:sz w:val="14"/>
          <w:szCs w:val="14"/>
          <w:color w:val="auto"/>
        </w:rPr>
        <w:t>Net (loss) income attributable to common stockholders, diluted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Denominator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Weighted-average shares used in computing basic</w:t>
      </w:r>
    </w:p>
    <w:p>
      <w:pPr>
        <w:spacing w:after="0" w:line="2" w:lineRule="exact"/>
        <w:rPr>
          <w:sz w:val="20"/>
          <w:szCs w:val="20"/>
          <w:color w:val="auto"/>
        </w:rPr>
      </w:pPr>
    </w:p>
    <w:p>
      <w:pPr>
        <w:ind w:left="20" w:right="40"/>
        <w:spacing w:after="0" w:line="231" w:lineRule="auto"/>
        <w:rPr>
          <w:sz w:val="20"/>
          <w:szCs w:val="20"/>
          <w:color w:val="auto"/>
        </w:rPr>
      </w:pPr>
      <w:r>
        <w:rPr>
          <w:rFonts w:ascii="Arial" w:cs="Arial" w:eastAsia="Arial" w:hAnsi="Arial"/>
          <w:sz w:val="14"/>
          <w:szCs w:val="14"/>
          <w:color w:val="auto"/>
        </w:rPr>
        <w:t>Net (loss) income per share attributable to common stockholders</w:t>
      </w:r>
    </w:p>
    <w:p>
      <w:pPr>
        <w:spacing w:after="0" w:line="14" w:lineRule="exact"/>
        <w:rPr>
          <w:sz w:val="20"/>
          <w:szCs w:val="20"/>
          <w:color w:val="auto"/>
        </w:rPr>
      </w:pPr>
    </w:p>
    <w:p>
      <w:pPr>
        <w:ind w:left="240" w:right="280"/>
        <w:spacing w:after="0" w:line="252" w:lineRule="auto"/>
        <w:rPr>
          <w:sz w:val="20"/>
          <w:szCs w:val="20"/>
          <w:color w:val="auto"/>
        </w:rPr>
      </w:pPr>
      <w:r>
        <w:rPr>
          <w:rFonts w:ascii="Arial" w:cs="Arial" w:eastAsia="Arial" w:hAnsi="Arial"/>
          <w:sz w:val="14"/>
          <w:szCs w:val="14"/>
          <w:color w:val="auto"/>
        </w:rPr>
        <w:t>Effect of dilutive potential shares of common stock</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Weighted-average shares used in computing diluted</w:t>
      </w:r>
    </w:p>
    <w:p>
      <w:pPr>
        <w:ind w:left="20" w:right="40"/>
        <w:spacing w:after="0" w:line="217" w:lineRule="auto"/>
        <w:rPr>
          <w:sz w:val="20"/>
          <w:szCs w:val="20"/>
          <w:color w:val="auto"/>
        </w:rPr>
      </w:pPr>
      <w:r>
        <w:rPr>
          <w:rFonts w:ascii="Arial" w:cs="Arial" w:eastAsia="Arial" w:hAnsi="Arial"/>
          <w:sz w:val="14"/>
          <w:szCs w:val="14"/>
          <w:color w:val="auto"/>
        </w:rPr>
        <w:t>Net (loss) income per share attributable to common stockholders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80" w:type="dxa"/>
            <w:vAlign w:val="bottom"/>
          </w:tcPr>
          <w:p>
            <w:pPr>
              <w:jc w:val="right"/>
              <w:ind w:right="48"/>
              <w:spacing w:after="0"/>
              <w:rPr>
                <w:sz w:val="20"/>
                <w:szCs w:val="20"/>
                <w:color w:val="auto"/>
              </w:rPr>
            </w:pPr>
            <w:r>
              <w:rPr>
                <w:rFonts w:ascii="Arial" w:cs="Arial" w:eastAsia="Arial" w:hAnsi="Arial"/>
                <w:sz w:val="14"/>
                <w:szCs w:val="14"/>
                <w:color w:val="auto"/>
              </w:rPr>
              <w:t>(12,925)</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24,938</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2,349</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(199,108)</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(23,854)</w:t>
            </w:r>
          </w:p>
        </w:tc>
      </w:tr>
      <w:tr>
        <w:trPr>
          <w:trHeight w:val="392"/>
        </w:trPr>
        <w:tc>
          <w:tcPr>
            <w:tcW w:w="680" w:type="dxa"/>
            <w:vAlign w:val="bottom"/>
          </w:tcPr>
          <w:p>
            <w:pPr>
              <w:jc w:val="right"/>
              <w:ind w:right="48"/>
              <w:spacing w:after="0"/>
              <w:rPr>
                <w:sz w:val="20"/>
                <w:szCs w:val="20"/>
                <w:color w:val="auto"/>
              </w:rPr>
            </w:pPr>
            <w:r>
              <w:rPr>
                <w:rFonts w:ascii="Arial" w:cs="Arial" w:eastAsia="Arial" w:hAnsi="Arial"/>
                <w:sz w:val="14"/>
                <w:szCs w:val="14"/>
                <w:color w:val="auto"/>
              </w:rPr>
              <w:t>(12,925)</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24,808</w:t>
            </w:r>
          </w:p>
        </w:tc>
        <w:tc>
          <w:tcPr>
            <w:tcW w:w="10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2,479</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(199,108)</w:t>
            </w:r>
          </w:p>
        </w:tc>
        <w:tc>
          <w:tcPr>
            <w:tcW w:w="10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(23,854)</w:t>
            </w:r>
          </w:p>
        </w:tc>
      </w:tr>
      <w:tr>
        <w:trPr>
          <w:trHeight w:val="688"/>
        </w:trPr>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428,988</w:t>
            </w:r>
          </w:p>
        </w:tc>
        <w:tc>
          <w:tcPr>
            <w:tcW w:w="4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33,180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467,071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43,993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475,564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56,976</w:t>
            </w:r>
          </w:p>
        </w:tc>
      </w:tr>
      <w:tr>
        <w:trPr>
          <w:trHeight w:val="342"/>
        </w:trPr>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4,646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39"/>
        </w:trPr>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428,988</w:t>
            </w:r>
          </w:p>
        </w:tc>
        <w:tc>
          <w:tcPr>
            <w:tcW w:w="4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33,180</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471,717</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47,128</w:t>
            </w: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475,564</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56,976</w:t>
            </w:r>
          </w:p>
        </w:tc>
      </w:tr>
      <w:tr>
        <w:trPr>
          <w:trHeight w:val="25"/>
        </w:trPr>
        <w:tc>
          <w:tcPr>
            <w:tcW w:w="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-976630</wp:posOffset>
            </wp:positionV>
            <wp:extent cx="709803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-539115</wp:posOffset>
            </wp:positionV>
            <wp:extent cx="7098030" cy="222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98030" cy="2228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3340" w:space="80"/>
            <w:col w:w="80" w:space="540"/>
            <w:col w:w="72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4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Arial" w:cs="Arial" w:eastAsia="Arial" w:hAnsi="Arial"/>
                <w:sz w:val="14"/>
                <w:szCs w:val="14"/>
                <w:color w:val="auto"/>
              </w:rPr>
              <w:t>Net (loss) income per share attributable to common</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(0.03)</w:t>
            </w:r>
          </w:p>
        </w:tc>
        <w:tc>
          <w:tcPr>
            <w:tcW w:w="5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(0.03)</w:t>
            </w:r>
          </w:p>
        </w:tc>
        <w:tc>
          <w:tcPr>
            <w:tcW w:w="54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0.05</w:t>
            </w:r>
          </w:p>
        </w:tc>
        <w:tc>
          <w:tcPr>
            <w:tcW w:w="5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0.05</w:t>
            </w:r>
          </w:p>
        </w:tc>
        <w:tc>
          <w:tcPr>
            <w:tcW w:w="52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(0.42)</w:t>
            </w:r>
          </w:p>
        </w:tc>
        <w:tc>
          <w:tcPr>
            <w:tcW w:w="50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85"/>
        </w:trPr>
        <w:tc>
          <w:tcPr>
            <w:tcW w:w="3400" w:type="dxa"/>
            <w:vAlign w:val="bottom"/>
          </w:tcPr>
          <w:p>
            <w:pPr>
              <w:ind w:left="20"/>
              <w:spacing w:after="0"/>
              <w:rPr>
                <w:sz w:val="20"/>
                <w:szCs w:val="20"/>
                <w:color w:val="auto"/>
              </w:rPr>
            </w:pPr>
            <w:r>
              <w:rPr>
                <w:rFonts w:ascii="Arial" w:cs="Arial" w:eastAsia="Arial" w:hAnsi="Arial"/>
                <w:sz w:val="14"/>
                <w:szCs w:val="14"/>
                <w:color w:val="auto"/>
              </w:rPr>
              <w:t>stockholders, basic</w:t>
            </w:r>
          </w:p>
        </w:tc>
        <w:tc>
          <w:tcPr>
            <w:tcW w:w="4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(loss) income per share attributable to common</w:t>
            </w: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5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54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5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52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5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diluted</w:t>
            </w:r>
          </w:p>
        </w:tc>
        <w:tc>
          <w:tcPr>
            <w:tcW w:w="4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liquidation and dividend rights are identical for Class A common stock and Class B common stock, the undistributed earnings are allocated on a proportionate basis and the resulting income (loss) per share will, therefore, be the same for both Class A common stock and Class B common stock on an individual or combined basis.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during the years ended December 31, 2025 and 2023 because including them would have had an anti-dilutive effect as the Company was in a loss position during those periods: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spacing w:after="0"/>
              <w:rPr>
                <w:sz w:val="17"/>
                <w:szCs w:val="17"/>
                <w:color w:val="auto"/>
              </w:rPr>
            </w:pPr>
          </w:p>
        </w:tc>
      </w:tr>
      <w:tr>
        <w:trPr>
          <w:trHeight w:val="196"/>
        </w:trPr>
        <w:tc>
          <w:tcPr>
            <w:tcW w:w="55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Class B</w:t>
            </w:r>
          </w:p>
        </w:tc>
      </w:tr>
      <w:tr>
        <w:trPr>
          <w:trHeight w:val="25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Class B common stock</w:t>
            </w:r>
          </w:p>
        </w:tc>
        <w:tc>
          <w:tcPr>
            <w:tcW w:w="1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7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 restricted stock, and employee stock purchase plan</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28,864</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Potentially dilutive securities that were excluded from the computation of diluted net income per share during the year ended December 31, 2024 because including them would have had an anti-dilutive effect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Year Ended December 31, 2024</w:t>
            </w:r>
          </w:p>
        </w:tc>
      </w:tr>
      <w:tr>
        <w:trPr>
          <w:trHeight w:val="196"/>
        </w:trPr>
        <w:tc>
          <w:tcPr>
            <w:tcW w:w="7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ind w:left="540"/>
              <w:spacing w:after="0"/>
              <w:rPr>
                <w:sz w:val="20"/>
                <w:szCs w:val="20"/>
                <w:color w:val="auto"/>
              </w:rPr>
            </w:pPr>
            <w:r>
              <w:rPr>
                <w:rFonts w:ascii="Arial" w:cs="Arial" w:eastAsia="Arial" w:hAnsi="Arial"/>
                <w:sz w:val="14"/>
                <w:szCs w:val="14"/>
                <w:b w:val="1"/>
                <w:bCs w:val="1"/>
                <w:color w:val="auto"/>
              </w:rPr>
              <w:t>Class A</w:t>
            </w:r>
          </w:p>
        </w:tc>
        <w:tc>
          <w:tcPr>
            <w:tcW w:w="1680" w:type="dxa"/>
            <w:vAlign w:val="bottom"/>
          </w:tcPr>
          <w:p>
            <w:pPr>
              <w:jc w:val="right"/>
              <w:ind w:right="535"/>
              <w:spacing w:after="0"/>
              <w:rPr>
                <w:sz w:val="20"/>
                <w:szCs w:val="20"/>
                <w:color w:val="auto"/>
              </w:rPr>
            </w:pPr>
            <w:r>
              <w:rPr>
                <w:rFonts w:ascii="Arial" w:cs="Arial" w:eastAsia="Arial" w:hAnsi="Arial"/>
                <w:sz w:val="14"/>
                <w:szCs w:val="14"/>
                <w:b w:val="1"/>
                <w:bCs w:val="1"/>
                <w:color w:val="auto"/>
              </w:rPr>
              <w:t>Class B</w:t>
            </w:r>
          </w:p>
        </w:tc>
      </w:tr>
      <w:tr>
        <w:trPr>
          <w:trHeight w:val="251"/>
        </w:trPr>
        <w:tc>
          <w:tcPr>
            <w:tcW w:w="7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 including early exercise of options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0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13,880</w:t>
            </w:r>
          </w:p>
        </w:tc>
      </w:tr>
      <w:tr>
        <w:trPr>
          <w:trHeight w:val="270"/>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Unvested RSUs outstanding</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259</w:t>
            </w: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14,139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income before income taxes by tax jurisdiction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 expense (benefit)</w:t>
            </w: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(230,575)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102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47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expense (benefit):</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tax expense (benefit)</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 tax (benefit) expense: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Total deferred tax (benefit) expense</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Income tax expense (benefit)</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adopted ASU 2023-09, “Improvements to Income Tax Disclosures” as of December 31, 2025 and the Company applied this guidance prospectively. Accordingly, the effective tax rate reconciliation for the year ended December 31, 2025 is presented in accordance with the new standard, while those for the years ended December 31, 2024 and 2023 are presented under the previous guidance and have not been retrospectively adjusted.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U.S. federal statutory rate to the Company's effective income tax rate for the year ended December 31, 2025 under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ASU 2023-09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Year Ended December 31, 2025</w:t>
            </w:r>
          </w:p>
        </w:tc>
      </w:tr>
      <w:tr>
        <w:trPr>
          <w:trHeight w:val="196"/>
        </w:trPr>
        <w:tc>
          <w:tcPr>
            <w:tcW w:w="8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640" w:type="dxa"/>
            <w:vAlign w:val="bottom"/>
          </w:tcPr>
          <w:p>
            <w:pPr>
              <w:jc w:val="right"/>
              <w:ind w:right="471"/>
              <w:spacing w:after="0"/>
              <w:rPr>
                <w:sz w:val="20"/>
                <w:szCs w:val="20"/>
                <w:color w:val="auto"/>
              </w:rPr>
            </w:pPr>
            <w:r>
              <w:rPr>
                <w:rFonts w:ascii="Arial" w:cs="Arial" w:eastAsia="Arial" w:hAnsi="Arial"/>
                <w:sz w:val="14"/>
                <w:szCs w:val="14"/>
                <w:b w:val="1"/>
                <w:bCs w:val="1"/>
                <w:color w:val="auto"/>
              </w:rPr>
              <w:t>Percent</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Domestic Federal:</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8020" w:type="dxa"/>
            <w:vAlign w:val="bottom"/>
          </w:tcPr>
          <w:p>
            <w:pPr>
              <w:ind w:left="460"/>
              <w:spacing w:after="0" w:line="230" w:lineRule="exact"/>
              <w:rPr>
                <w:sz w:val="20"/>
                <w:szCs w:val="20"/>
                <w:color w:val="auto"/>
              </w:rPr>
            </w:pPr>
            <w:r>
              <w:rPr>
                <w:rFonts w:ascii="Arial" w:cs="Arial" w:eastAsia="Arial" w:hAnsi="Arial"/>
                <w:sz w:val="18"/>
                <w:szCs w:val="18"/>
                <w:color w:val="auto"/>
              </w:rPr>
              <w:t xml:space="preserve">Research and development tax credits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18.1 %</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Nontaxable or deductible Items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Executive compensation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Share-based payment awards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Non-deductible compensation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Non-deductible M&amp;A</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Valuation Allowance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46.2 %</w:t>
            </w: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Domestic State and Local Income Taxes, Net of Federal Income Tax Effect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Shared-based payment awards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Non-deductible compensation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02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Research and development tax credits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Jurisdictions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8"/>
        <w:spacing w:after="0" w:line="256" w:lineRule="auto"/>
        <w:tabs>
          <w:tab w:leader="none" w:pos="2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Presented net of related unrecognized tax benefits in the current year. Also includes immaterial changes in unrecognized tax benefits related to prior year tax positions.</w:t>
      </w:r>
    </w:p>
    <w:p>
      <w:pPr>
        <w:spacing w:after="0" w:line="1" w:lineRule="exact"/>
        <w:rPr>
          <w:rFonts w:ascii="Arial" w:cs="Arial" w:eastAsia="Arial" w:hAnsi="Arial"/>
          <w:sz w:val="16"/>
          <w:szCs w:val="16"/>
          <w:color w:val="auto"/>
        </w:rPr>
      </w:pPr>
    </w:p>
    <w:p>
      <w:pPr>
        <w:ind w:firstLine="8"/>
        <w:spacing w:after="0" w:line="283" w:lineRule="auto"/>
        <w:tabs>
          <w:tab w:leader="none" w:pos="2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tax effects attributable to state taxes in Oregon and Texas for the year ended December 31, 2025 represent the majority (greater than 50%) of the total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reconciliation of the Company's effective tax rate to the statutory federal rate for the years ended December 31, 2024 and 2023 under the previous guidance is as follows:</w:t>
      </w:r>
    </w:p>
    <w:p>
      <w:pPr>
        <w:spacing w:after="0" w:line="95"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at federal statutory rate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effect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Executive compensation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Change in uncertain tax positions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Mergers and acquisitions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Nondeductible compensation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260" w:type="dxa"/>
            <w:vAlign w:val="bottom"/>
            <w:gridSpan w:val="2"/>
          </w:tcPr>
          <w:p>
            <w:pPr>
              <w:spacing w:after="0"/>
              <w:rPr>
                <w:sz w:val="20"/>
                <w:szCs w:val="20"/>
                <w:color w:val="auto"/>
              </w:rPr>
            </w:pPr>
            <w:r>
              <w:rPr>
                <w:rFonts w:ascii="Arial" w:cs="Arial" w:eastAsia="Arial" w:hAnsi="Arial"/>
                <w:sz w:val="18"/>
                <w:szCs w:val="18"/>
                <w:color w:val="auto"/>
              </w:rPr>
              <w:t>Income taxes paid by jurisdiction for the year ended December 31, 2025 are summarized as follows: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ind w:right="3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9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US State and Local</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Poland</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38"/>
        </w:trPr>
        <w:tc>
          <w:tcPr>
            <w:tcW w:w="8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Foreign</w:t>
            </w: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5480"/>
              <w:spacing w:after="0"/>
              <w:rPr>
                <w:sz w:val="20"/>
                <w:szCs w:val="20"/>
                <w:color w:val="auto"/>
              </w:rPr>
            </w:pPr>
            <w:r>
              <w:rPr>
                <w:rFonts w:ascii="Arial" w:cs="Arial" w:eastAsia="Arial" w:hAnsi="Arial"/>
                <w:sz w:val="18"/>
                <w:szCs w:val="18"/>
                <w:color w:val="auto"/>
              </w:rPr>
              <w:t>105</w:t>
            </w: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7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9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Federal and state net operating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53,398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46,108</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w:t>
            </w:r>
          </w:p>
        </w:tc>
      </w:tr>
      <w:tr>
        <w:trPr>
          <w:trHeight w:val="230"/>
        </w:trPr>
        <w:tc>
          <w:tcPr>
            <w:tcW w:w="8140" w:type="dxa"/>
            <w:vAlign w:val="bottom"/>
          </w:tcPr>
          <w:p>
            <w:pPr>
              <w:ind w:left="240"/>
              <w:spacing w:after="0"/>
              <w:rPr>
                <w:sz w:val="20"/>
                <w:szCs w:val="20"/>
                <w:color w:val="auto"/>
              </w:rPr>
            </w:pPr>
            <w:r>
              <w:rPr>
                <w:rFonts w:ascii="Arial" w:cs="Arial" w:eastAsia="Arial" w:hAnsi="Arial"/>
                <w:sz w:val="18"/>
                <w:szCs w:val="18"/>
                <w:color w:val="auto"/>
              </w:rPr>
              <w:t>Research and development capitalization expenditures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40,453</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Accruals and 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8,087</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338"/>
        </w:trPr>
        <w:tc>
          <w:tcPr>
            <w:tcW w:w="8140" w:type="dxa"/>
            <w:vAlign w:val="bottom"/>
          </w:tcPr>
          <w:p>
            <w:pPr>
              <w:ind w:left="240"/>
              <w:spacing w:after="0"/>
              <w:rPr>
                <w:sz w:val="20"/>
                <w:szCs w:val="20"/>
                <w:color w:val="auto"/>
              </w:rPr>
            </w:pPr>
            <w:r>
              <w:rPr>
                <w:rFonts w:ascii="Arial" w:cs="Arial" w:eastAsia="Arial" w:hAnsi="Arial"/>
                <w:sz w:val="18"/>
                <w:szCs w:val="18"/>
                <w:color w:val="auto"/>
              </w:rPr>
              <w:t>Reserve for contract contingencies and processing errors</w:t>
            </w:r>
          </w:p>
        </w:tc>
        <w:tc>
          <w:tcPr>
            <w:tcW w:w="20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143,735</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(135,697)</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r>
      <w:tr>
        <w:trPr>
          <w:trHeight w:val="229"/>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deferred tax (liabilities)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1"/>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740 and based on all available evidence on a jurisdictional basis, the Company believes that it is more likely than not that its U.S. deferred tax assets will not be utilized and has recorded a full valuation allowance against its net deferred tax assets in the U.S. jurisdiction. The Company assesses on a periodic basis the likelihood that it will be able to recover its deferred tax assets. The Company considers all available evidence, both positive and negative, including historical levels of income or losses and expectations and risks associated with estimates of future taxable income in assessing the need for the valuation allowance. If it is not more likely than not that the Company expects to recover its deferred tax assets, the Company will increase its provision for taxes by recording a valuation allowance against the deferred tax assets that it estimates will not ultimately be recoverable. The available negative evidence at December 31, 2025 and 2024 included historical and projected future operating losses. As a result, the Company concluded that a decrease of $6.1 million and an increase of $7.5 million was required to reflect the change in its deferred tax assets prior to valuation allowance during 2025 and 2024, respectively. As of December 31, 2025 and 2024, the Company considered it more likely than not that substantially all of its deferred tax assets would not be realized.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the Company had net operating loss carryforwards of approximately $205.2 million and $172.9 million for federal and state tax purposes, respectively. Of the Company's federal net operating loss carryforwards as of December 31, 2025, $180.3 million can be carried forward indefinitely but are limited to 80% of taxable income. If not utilized, the federal and state net operating carryforwards will begin to expire in 2035 and 2025, respectively.</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the Company had research and development tax credit carryforwards of approximately $39.7 million for federal income tax purposes and $16.9 million for California state tax purposes. If not utilized, the federal research and development tax credit carryforwards will begin to expire in 2031. The California state research credit can be carried forward indefinitely.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Section 382 of the Internal Revenue Code of 1986, as amended, the Company's ability to utilize net operating loss carryforwards or other tax attributes in any taxable year may be limited if the Company has experienced an ownership change. As of December 31, 2025, the Company has concluded that it has experienced ownership changes since inception and that its utilization of net operating loss carryforwards and other tax attributes will be subject to annual limitations.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files federal, state, and foreign income tax returns in jurisdictions with varying statutes of limitations. To the extent the Company has tax attributes carryforwards, the tax years in which the attribute was generated may still be adjusted upon examination by the federal, state, or foreign tax authorities to the extent utilized in a future period.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made an accounting policy election to provide for the Global Intangible Low-Taxed Income (GILTI) tax expense in the year the tax is incurred as a period cost. The Company elected and applied the tax law ordering approach when considering GILTI as part of its valuation allowance.</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2025, Congress passed and the President signed into law H.R. 1, the One Big Beautiful Bill Act (the "Tax Act"), which addresses certain business tax provisions enacted as a part of the 2017 Tax Cuts and Jobs Act including restoration of 100% bonus depreciation under Section 168(k) and Section 174 expensing for US-based research. Accounting Standards Codification Topic 740, Income Taxes, (“Topic 740”) requires the tax impacts to be included in the reporting period that includes the date the Tax Act was signed into law. As the Tax Act was enacted in the third quarter of fiscal year 2025, the Company reflected the impacts of the Tax Act in its income tax expense beginning in the third quarter of fiscal year 2025. Due to the Company's full valuation allowance on its deferred tax assets, these tax law changes did not have a significant effect on the Company's financial position or results of operations.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recognizes tax benefits from uncertain tax positions only if the Company believes that it is more likely than not that the tax position will be sustained on examination by the taxing authorities based on the technical merits of the position. The Company makes adjustments to the reserves in accordance with the income tax accounting guidance when facts and circumstances change, such as the closing of a tax audit or the refinement of an estimate.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amounts of unrecognized tax benefits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196"/>
        </w:trPr>
        <w:tc>
          <w:tcPr>
            <w:tcW w:w="7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Additions based on uncertain tax positions related to the current period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3,238</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uncertain tax positions related to the prior periods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9,800</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policy is to include interest and penalties related to unrecognized tax benefits within the Company’s tax provision for income tax expenses. During the year ended December 31, 2025, the Company accrued $0.3 million of interest and penalties related to unrecognized tax benefits.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the Company had gross unrecognized tax benefits of $18.8 million. If recognized, $4.6 million of unrecognized tax benefits would affect the Company's effective tax rate. The remaining $14.2 million would not impact the effective tax rate due to the offsetting effect of the Company's valuation allowance.</w:t>
      </w:r>
    </w:p>
    <w:p>
      <w:pPr>
        <w:spacing w:after="0" w:line="27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Risks and Significant Customers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short-term investments, and accounts receivable. Cash and cash equivalents held with financial institutions may exceed federally insured limits, posing potential credit risk.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short-term investments were $62.5 million, and there was no concentration of securities of the same issuer with an aggregate fair value greater than 5% of this total balance, except for U.S. Treasury securities, which amounted to $56.1 million, or 90%, of the short-term investments. As of December 31, 2025, all debt securities within the Company's portfolio were investment grade.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short-term investments were $179.4 million, and there was no concentration of securities of the same issuer with an aggregate fair value greater than 5% of the total balance, except for U.S. Treasuries, which amounted to $168.9 million, or 94% of the short-term investments. As of December 31, 2024, all debt securities within the Company's portfolio were investment grade.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significant portion of the Company's payment transactions is settled through one Issuing Bank, Sutton Bank. For the years ended December 31, 2025, 2024 and 2023, 64%, 70% and 76% of Total Processing Volume was settled through Sutton Bank, respectively.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significant portion of the Company's revenue and accounts receivable is derived from a single customer. The following provides net revenue as a percentage of total net revenue and customers' receivables as a percentage of total customers receivables for our significant customers:</w:t>
      </w:r>
    </w:p>
    <w:p>
      <w:pPr>
        <w:spacing w:after="0" w:line="113"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Percent of Net Revenue</w:t>
      </w:r>
    </w:p>
    <w:p>
      <w:pPr>
        <w:spacing w:after="0" w:line="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1700" w:type="dxa"/>
            <w:vAlign w:val="bottom"/>
            <w:tcBorders>
              <w:top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left="477"/>
              <w:spacing w:after="0"/>
              <w:rPr>
                <w:sz w:val="20"/>
                <w:szCs w:val="20"/>
                <w:color w:val="auto"/>
              </w:rPr>
            </w:pPr>
            <w:r>
              <w:rPr>
                <w:rFonts w:ascii="Arial" w:cs="Arial" w:eastAsia="Arial" w:hAnsi="Arial"/>
                <w:sz w:val="14"/>
                <w:szCs w:val="14"/>
                <w:b w:val="1"/>
                <w:bCs w:val="1"/>
                <w:color w:val="auto"/>
              </w:rPr>
              <w:t>2024</w:t>
            </w:r>
          </w:p>
        </w:tc>
        <w:tc>
          <w:tcPr>
            <w:tcW w:w="2360" w:type="dxa"/>
            <w:vAlign w:val="bottom"/>
            <w:tcBorders>
              <w:top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rPr>
              <w:t>2023</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70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99"/>
              </w:rPr>
              <w:t>47%</w:t>
            </w: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68%</w:t>
            </w:r>
          </w:p>
        </w:tc>
      </w:tr>
      <w:tr>
        <w:trPr>
          <w:trHeight w:val="378"/>
        </w:trPr>
        <w:tc>
          <w:tcPr>
            <w:tcW w:w="5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Percent of Customers' Receivables as of</w:t>
            </w:r>
          </w:p>
        </w:tc>
      </w:tr>
      <w:tr>
        <w:trPr>
          <w:trHeight w:val="189"/>
        </w:trPr>
        <w:tc>
          <w:tcPr>
            <w:tcW w:w="5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center"/>
              <w:ind w:right="105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5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477"/>
              <w:spacing w:after="0"/>
              <w:rPr>
                <w:sz w:val="20"/>
                <w:szCs w:val="20"/>
                <w:color w:val="auto"/>
              </w:rPr>
            </w:pPr>
            <w:r>
              <w:rPr>
                <w:rFonts w:ascii="Arial" w:cs="Arial" w:eastAsia="Arial" w:hAnsi="Arial"/>
                <w:sz w:val="14"/>
                <w:szCs w:val="14"/>
                <w:b w:val="1"/>
                <w:bCs w:val="1"/>
                <w:color w:val="auto"/>
              </w:rPr>
              <w:t>2025</w:t>
            </w:r>
          </w:p>
        </w:tc>
        <w:tc>
          <w:tcPr>
            <w:tcW w:w="236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rPr>
              <w:t>2024</w:t>
            </w: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left="477"/>
              <w:spacing w:after="0"/>
              <w:rPr>
                <w:sz w:val="20"/>
                <w:szCs w:val="20"/>
                <w:color w:val="auto"/>
              </w:rPr>
            </w:pPr>
            <w:r>
              <w:rPr>
                <w:rFonts w:ascii="Arial" w:cs="Arial" w:eastAsia="Arial" w:hAnsi="Arial"/>
                <w:sz w:val="18"/>
                <w:szCs w:val="18"/>
                <w:color w:val="auto"/>
                <w:w w:val="99"/>
              </w:rPr>
              <w:t>12%</w:t>
            </w:r>
          </w:p>
        </w:tc>
        <w:tc>
          <w:tcPr>
            <w:tcW w:w="2360" w:type="dxa"/>
            <w:vAlign w:val="bottom"/>
            <w:gridSpan w:val="3"/>
          </w:tcPr>
          <w:p>
            <w:pPr>
              <w:jc w:val="center"/>
              <w:ind w:left="579"/>
              <w:spacing w:after="0"/>
              <w:rPr>
                <w:sz w:val="20"/>
                <w:szCs w:val="20"/>
                <w:color w:val="auto"/>
              </w:rPr>
            </w:pPr>
            <w:r>
              <w:rPr>
                <w:rFonts w:ascii="Arial" w:cs="Arial" w:eastAsia="Arial" w:hAnsi="Arial"/>
                <w:sz w:val="18"/>
                <w:szCs w:val="18"/>
                <w:color w:val="auto"/>
                <w:w w:val="84"/>
              </w:rPr>
              <w:t>*</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rPr>
              <w:t>*</w:t>
            </w:r>
          </w:p>
        </w:tc>
        <w:tc>
          <w:tcPr>
            <w:tcW w:w="2360" w:type="dxa"/>
            <w:vAlign w:val="bottom"/>
            <w:gridSpan w:val="3"/>
            <w:shd w:val="clear" w:color="auto" w:fill="CCEEFF"/>
          </w:tcPr>
          <w:p>
            <w:pPr>
              <w:jc w:val="center"/>
              <w:ind w:left="559"/>
              <w:spacing w:after="0"/>
              <w:rPr>
                <w:sz w:val="20"/>
                <w:szCs w:val="20"/>
                <w:color w:val="auto"/>
              </w:rPr>
            </w:pPr>
            <w:r>
              <w:rPr>
                <w:rFonts w:ascii="Arial" w:cs="Arial" w:eastAsia="Arial" w:hAnsi="Arial"/>
                <w:sz w:val="18"/>
                <w:szCs w:val="18"/>
                <w:color w:val="auto"/>
                <w:w w:val="99"/>
              </w:rPr>
              <w:t>13%</w:t>
            </w: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Customer D</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left="477"/>
              <w:spacing w:after="0"/>
              <w:rPr>
                <w:sz w:val="20"/>
                <w:szCs w:val="20"/>
                <w:color w:val="auto"/>
              </w:rPr>
            </w:pPr>
            <w:r>
              <w:rPr>
                <w:rFonts w:ascii="Arial" w:cs="Arial" w:eastAsia="Arial" w:hAnsi="Arial"/>
                <w:sz w:val="18"/>
                <w:szCs w:val="18"/>
                <w:color w:val="auto"/>
                <w:w w:val="99"/>
              </w:rPr>
              <w:t>12%</w:t>
            </w:r>
          </w:p>
        </w:tc>
        <w:tc>
          <w:tcPr>
            <w:tcW w:w="2360" w:type="dxa"/>
            <w:vAlign w:val="bottom"/>
            <w:gridSpan w:val="3"/>
          </w:tcPr>
          <w:p>
            <w:pPr>
              <w:jc w:val="center"/>
              <w:ind w:left="579"/>
              <w:spacing w:after="0"/>
              <w:rPr>
                <w:sz w:val="20"/>
                <w:szCs w:val="20"/>
                <w:color w:val="auto"/>
              </w:rPr>
            </w:pPr>
            <w:r>
              <w:rPr>
                <w:rFonts w:ascii="Arial" w:cs="Arial" w:eastAsia="Arial" w:hAnsi="Arial"/>
                <w:sz w:val="18"/>
                <w:szCs w:val="18"/>
                <w:color w:val="auto"/>
                <w:w w:val="84"/>
              </w:rPr>
              <w:t>*</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 Did not exceed 10% in the reporting period presented</w:t>
      </w:r>
    </w:p>
    <w:p>
      <w:pPr>
        <w:spacing w:after="0" w:line="33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chief operating decision maker (“CODM”) is its Chief Executive Officer, who regularly reviews financial information presented on a consolidated basis for purposes of allocating resources and evaluating financial performance. The Company provides a single, global,</w:t>
      </w:r>
    </w:p>
    <w:p>
      <w:pPr>
        <w:jc w:val="both"/>
        <w:spacing w:after="0" w:line="237" w:lineRule="auto"/>
        <w:rPr>
          <w:sz w:val="20"/>
          <w:szCs w:val="20"/>
          <w:color w:val="auto"/>
        </w:rPr>
      </w:pPr>
      <w:r>
        <w:rPr>
          <w:rFonts w:ascii="Arial" w:cs="Arial" w:eastAsia="Arial" w:hAnsi="Arial"/>
          <w:sz w:val="18"/>
          <w:szCs w:val="18"/>
          <w:color w:val="auto"/>
        </w:rPr>
        <w:t>cloud-based, open API platform for modern card issuing and transaction processing, and primarily earns revenue from processing card transactions for its customers. As such, the Company operates as a single operating segment and reporting unit.</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CODM assesses performance and decides how to allocate resources based on consolidated net (loss) income as the measure of profit and loss and consolidated total assets. The measure of segment assets is reported on the balance sheet as total assets. The CODM uses net (loss) income in the annual budgeting process and subsequent monitoring of budget versus actual results, as well as in assessing the return on consolidated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information used by the CODM in assessing segment performance: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676,171</w:t>
            </w:r>
          </w:p>
        </w:tc>
      </w:tr>
      <w:tr>
        <w:trPr>
          <w:trHeight w:val="21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155,146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346,657</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329,514</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Significant expenses: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compensation and benefits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318,856</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Share 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104,788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136,562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127,525</w:t>
            </w: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21,679</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55,612</w:t>
            </w: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Occupancy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10,741</w:t>
            </w: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Marketing and advertising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Other operating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17,975</w:t>
            </w: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Executive Chairman Long-Term Performance Award</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53,214</w:t>
            </w:r>
          </w:p>
        </w:tc>
      </w:tr>
      <w:tr>
        <w:trPr>
          <w:trHeight w:val="215"/>
        </w:trPr>
        <w:tc>
          <w:tcPr>
            <w:tcW w:w="664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53,411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52,613</w:t>
            </w:r>
          </w:p>
        </w:tc>
      </w:tr>
      <w:tr>
        <w:trPr>
          <w:trHeight w:val="217"/>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 (benefit)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(7,613)</w:t>
            </w:r>
          </w:p>
        </w:tc>
      </w:tr>
      <w:tr>
        <w:trPr>
          <w:trHeight w:val="235"/>
        </w:trPr>
        <w:tc>
          <w:tcPr>
            <w:tcW w:w="664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Segment and consolidated net (loss) income</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27,287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(222,962)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8"/>
        <w:spacing w:after="0" w:line="286" w:lineRule="auto"/>
        <w:tabs>
          <w:tab w:leader="none" w:pos="2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operates as a single reportable segment that is managed on a consolidated basis, therefore the Company’s segment net (loss) income is the same as the Company’s consolidated net (loss) income.</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the years ended December 31, 2025, 2024, and 2023, net revenue outside of the United States, based on the billing address of the customer, was 14%, 10%, and 5%, respectively.</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December 31, 2025 and 2024, tangible long-lived assets located outside of the United States were not material and not used by the CODM in assessing and evaluating financial performance and allocating resources.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 Changes in and Disagreements With Accountants on Accounting and Financial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9A.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defined in Rules 13a-15(e) and 15d-15(e) under the Exchange Act as of the end of the period covered by this Annual Report on Form 10-K.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Based on such evaluation, our management has concluded our disclosure controls and procedures were effective at a reasonable assurance level as of December 31,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conducted an assessment of the effectiveness of our internal control over financial reporting based on the criteria established in “Internal Control - Integrated Framework” (2013) issued by the Committee of Sponsoring Organizations of the Treadway Commission (COSO). Based on that assessment, our management has concluded that our internal control over financial reporting was effective as of December 31, 2025.</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disclosed in Note 4 “Business Combinations”, to the consolidated financial statements, we acquired TransactPay during the year ended December 31, 2025. Pursuant to SEC rules, companies are permitted to exclude acquisitions from their assessment of the effectiveness of internal control over financial reporting for the fiscal year in which the acquisition occurs. Accordingly, management excluded TransactPay from its assessment of the effectiveness of internal control over financial reporting as of December 31, 2025. TransactPay’s total assets, principally consisted of restricted cash associated with card and electronic money wallet programs (fully offset by corresponding liabilities to customers), represented approximately 21% of our consolidated total assets as of December 31, 2025. TransactPay’s revenue represented approximately 1% of our consolidated net revenues for the year ended December 31, 2025.</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2025 has been audited by KPMG, LLP, an independent registered public accounting firm, as stated in their report which is included in Item 8 of this Annual Report on Form 10-K.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connection with our acquisition of TransactPay, we are reviewing its internal controls and are implementing changes as deemed necessary. Except for the changes in internal controls related to TransactPay, there were no changes in the Company’s internal control over financial reporting (as such term is defined in Rules 13a-15(d) and 15d-15(d) under the Exchange Act) during the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9B. Other Information</w:t>
      </w:r>
    </w:p>
    <w:p>
      <w:pPr>
        <w:spacing w:after="0" w:line="117" w:lineRule="exact"/>
        <w:rPr>
          <w:sz w:val="20"/>
          <w:szCs w:val="20"/>
          <w:color w:val="auto"/>
        </w:rPr>
      </w:pPr>
    </w:p>
    <w:p>
      <w:pPr>
        <w:jc w:val="both"/>
        <w:ind w:firstLine="8"/>
        <w:spacing w:after="0" w:line="262" w:lineRule="auto"/>
        <w:tabs>
          <w:tab w:leader="none" w:pos="2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November 20, 2025, Elaine Paul, a member of our board of directors, adopted a Rule 10b5-1 trading arrangement providing for the sale from time to time of an aggregate of up to 37,330 shares of our Class A common stock. The trading arrangement is intended to satisfy the affirmative defense in Rule 10b5-1(c). The duration of the trading arrangement is until November 30, 2026, or earlier if all transactions under the trading arrangement are completed, but in no case earlier than one year, or later than two years, from November 20, 2025.</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No other officers, as defined in Rule 16a-1(f), or directors adopted or terminated a Rule 10b5-1 trading arrangement or a “non-Rule 10b5-1 trading arrangement,” as defined in Item 408 of Regulation S-K, during our last fiscal quarter.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Item 9C. </w:t>
      </w:r>
      <w:r>
        <w:rPr>
          <w:rFonts w:ascii="Arial" w:cs="Arial" w:eastAsia="Arial" w:hAnsi="Arial"/>
          <w:sz w:val="18"/>
          <w:szCs w:val="18"/>
          <w:b w:val="1"/>
          <w:bCs w:val="1"/>
          <w:color w:val="000000"/>
        </w:rPr>
        <w:t>Disclosure Regarding Foreign Jurisdictions that Prevent Inspections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10. Directors, Executive Officers, and Corporate Governance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2026 Annual Meeting of Stockholders, which will be filed with the Securities and Exchange Commission within 120 days of our fiscal year ended December 31, 2025.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11. Executive Compensation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2026 Annual Meeting of Stockholders, which will be filed with the Securities and Exchange Commission within 120 days of our fiscal year ended December 31, 2025.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12. Security Ownership of Certain Beneficial Owners and Management and Related Stockholder Matters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2026 Annual Meeting of Stockholders, which will be filed with the Securities and Exchange Commission within 120 days of our fiscal year ended December 31, 2025.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13. Certain Relationships and Related Transactions, and Director Independence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2026 Annual Meeting of Stockholders, which will be filed with the Securities and Exchange Commission within 120 days of our fiscal year ended December 31, 2025.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14. Principal Accountant Fees and Services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2026 Annual Meeting of Stockholders, which will be filed with the Securities and Exchange Commission within 120 days of our fiscal year ended December 31, 2025.</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15. Exhibits and Financial Statement Schedules</w:t>
      </w:r>
    </w:p>
    <w:p>
      <w:pPr>
        <w:spacing w:after="0" w:line="117"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1. Consolidated Financial Statements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See Index to Consolidated Financial Statements at Part II, Item 8 herein.</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2. Financial Statement Schedules</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All schedules have been omitted because they are not required, not applicable, or not present in amounts sufficient to require submission of the schedule.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w w:val="98"/>
              </w:rPr>
              <w:t>Incorporated by Reference</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0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7"/>
              </w:rPr>
              <w:t>Exhibit Number</w:t>
            </w:r>
          </w:p>
        </w:tc>
        <w:tc>
          <w:tcPr>
            <w:tcW w:w="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360" w:type="dxa"/>
            <w:vAlign w:val="bottom"/>
            <w:gridSpan w:val="17"/>
            <w:vMerge w:val="restart"/>
          </w:tcPr>
          <w:p>
            <w:pPr>
              <w:ind w:left="100"/>
              <w:spacing w:after="0"/>
              <w:rPr>
                <w:sz w:val="20"/>
                <w:szCs w:val="20"/>
                <w:color w:val="auto"/>
              </w:rPr>
            </w:pPr>
            <w:r>
              <w:rPr>
                <w:rFonts w:ascii="Arial" w:cs="Arial" w:eastAsia="Arial" w:hAnsi="Arial"/>
                <w:sz w:val="13"/>
                <w:szCs w:val="13"/>
                <w:b w:val="1"/>
                <w:bCs w:val="1"/>
                <w:color w:val="auto"/>
              </w:rPr>
              <w:t>Description</w:t>
            </w:r>
          </w:p>
        </w:tc>
        <w:tc>
          <w:tcPr>
            <w:tcW w:w="40" w:type="dxa"/>
            <w:vAlign w:val="bottom"/>
            <w:vMerge w:val="restart"/>
          </w:tcPr>
          <w:p>
            <w:pPr>
              <w:spacing w:after="0"/>
              <w:rPr>
                <w:sz w:val="10"/>
                <w:szCs w:val="10"/>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3"/>
                <w:szCs w:val="13"/>
                <w:b w:val="1"/>
                <w:bCs w:val="1"/>
                <w:color w:val="auto"/>
                <w:w w:val="98"/>
              </w:rPr>
              <w:t>Form</w:t>
            </w:r>
          </w:p>
        </w:tc>
        <w:tc>
          <w:tcPr>
            <w:tcW w:w="126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File No.</w:t>
            </w:r>
          </w:p>
        </w:tc>
        <w:tc>
          <w:tcPr>
            <w:tcW w:w="102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w w:val="96"/>
              </w:rPr>
              <w:t>Exhibit</w:t>
            </w: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Filing Date</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17"/>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000" w:type="dxa"/>
            <w:vAlign w:val="bottom"/>
          </w:tcPr>
          <w:p>
            <w:pPr>
              <w:jc w:val="center"/>
              <w:spacing w:after="0" w:line="15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7"/>
          </w:tcPr>
          <w:p>
            <w:pPr>
              <w:spacing w:after="0" w:line="159" w:lineRule="exact"/>
              <w:rPr>
                <w:rFonts w:ascii="Arial" w:cs="Arial" w:eastAsia="Arial" w:hAnsi="Arial"/>
                <w:sz w:val="14"/>
                <w:szCs w:val="14"/>
                <w:color w:val="0000FF"/>
              </w:rPr>
            </w:pPr>
            <w:hyperlink r:id="rId154">
              <w:r>
                <w:rPr>
                  <w:rFonts w:ascii="Arial" w:cs="Arial" w:eastAsia="Arial" w:hAnsi="Arial"/>
                  <w:sz w:val="14"/>
                  <w:szCs w:val="14"/>
                  <w:color w:val="0000FF"/>
                </w:rPr>
                <w:t>Amended and Restated Certificate of Incorporation of the Registrant.</w:t>
              </w:r>
            </w:hyperlink>
          </w:p>
        </w:tc>
        <w:tc>
          <w:tcPr>
            <w:tcW w:w="720" w:type="dxa"/>
            <w:vAlign w:val="bottom"/>
          </w:tcPr>
          <w:p>
            <w:pPr>
              <w:jc w:val="center"/>
              <w:ind w:right="8"/>
              <w:spacing w:after="0" w:line="159" w:lineRule="exact"/>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line="159" w:lineRule="exact"/>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line="159" w:lineRule="exact"/>
              <w:rPr>
                <w:sz w:val="20"/>
                <w:szCs w:val="20"/>
                <w:color w:val="auto"/>
              </w:rPr>
            </w:pPr>
            <w:r>
              <w:rPr>
                <w:rFonts w:ascii="Arial" w:cs="Arial" w:eastAsia="Arial" w:hAnsi="Arial"/>
                <w:sz w:val="14"/>
                <w:szCs w:val="14"/>
                <w:color w:val="auto"/>
              </w:rPr>
              <w:t>3.2</w:t>
            </w:r>
          </w:p>
        </w:tc>
        <w:tc>
          <w:tcPr>
            <w:tcW w:w="1320" w:type="dxa"/>
            <w:vAlign w:val="bottom"/>
          </w:tcPr>
          <w:p>
            <w:pPr>
              <w:jc w:val="center"/>
              <w:spacing w:after="0" w:line="159" w:lineRule="exact"/>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top w:val="single" w:sz="8" w:color="0000FF"/>
            </w:tcBorders>
            <w:gridSpan w:val="17"/>
          </w:tcPr>
          <w:p>
            <w:pPr>
              <w:spacing w:after="0"/>
              <w:rPr>
                <w:rFonts w:ascii="Arial" w:cs="Arial" w:eastAsia="Arial" w:hAnsi="Arial"/>
                <w:sz w:val="14"/>
                <w:szCs w:val="14"/>
                <w:color w:val="0000FF"/>
              </w:rPr>
            </w:pPr>
            <w:hyperlink r:id="rId155">
              <w:r>
                <w:rPr>
                  <w:rFonts w:ascii="Arial" w:cs="Arial" w:eastAsia="Arial" w:hAnsi="Arial"/>
                  <w:sz w:val="14"/>
                  <w:szCs w:val="14"/>
                  <w:color w:val="0000FF"/>
                </w:rPr>
                <w:t>Amended and Restated Bylaws of the Registrant.</w:t>
              </w:r>
            </w:hyperlink>
          </w:p>
        </w:tc>
        <w:tc>
          <w:tcPr>
            <w:tcW w:w="1440" w:type="dxa"/>
            <w:vAlign w:val="bottom"/>
            <w:gridSpan w:val="10"/>
          </w:tcPr>
          <w:p>
            <w:pPr>
              <w:spacing w:after="0"/>
              <w:rPr>
                <w:sz w:val="17"/>
                <w:szCs w:val="17"/>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3.4</w:t>
            </w:r>
          </w:p>
        </w:tc>
        <w:tc>
          <w:tcPr>
            <w:tcW w:w="1320" w:type="dxa"/>
            <w:vAlign w:val="bottom"/>
          </w:tcPr>
          <w:p>
            <w:pPr>
              <w:jc w:val="center"/>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16"/>
          </w:tcPr>
          <w:p>
            <w:pPr>
              <w:spacing w:after="0"/>
              <w:rPr>
                <w:rFonts w:ascii="Arial" w:cs="Arial" w:eastAsia="Arial" w:hAnsi="Arial"/>
                <w:sz w:val="14"/>
                <w:szCs w:val="14"/>
                <w:color w:val="0000FF"/>
              </w:rPr>
            </w:pPr>
            <w:hyperlink r:id="rId156">
              <w:r>
                <w:rPr>
                  <w:rFonts w:ascii="Arial" w:cs="Arial" w:eastAsia="Arial" w:hAnsi="Arial"/>
                  <w:sz w:val="14"/>
                  <w:szCs w:val="14"/>
                  <w:color w:val="0000FF"/>
                </w:rPr>
                <w:t>Form of Class A common stock certificate of the Registrant.</w:t>
              </w:r>
            </w:hyperlink>
          </w:p>
        </w:tc>
        <w:tc>
          <w:tcPr>
            <w:tcW w:w="2020" w:type="dxa"/>
            <w:vAlign w:val="bottom"/>
            <w:gridSpan w:val="11"/>
          </w:tcPr>
          <w:p>
            <w:pPr>
              <w:spacing w:after="0"/>
              <w:rPr>
                <w:sz w:val="17"/>
                <w:szCs w:val="17"/>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4.1</w:t>
            </w:r>
          </w:p>
        </w:tc>
        <w:tc>
          <w:tcPr>
            <w:tcW w:w="1320" w:type="dxa"/>
            <w:vAlign w:val="bottom"/>
          </w:tcPr>
          <w:p>
            <w:pPr>
              <w:jc w:val="center"/>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57">
              <w:r>
                <w:rPr>
                  <w:rFonts w:ascii="Arial" w:cs="Arial" w:eastAsia="Arial" w:hAnsi="Arial"/>
                  <w:sz w:val="14"/>
                  <w:szCs w:val="14"/>
                  <w:color w:val="0000FF"/>
                </w:rPr>
                <w:t>Amended and Restated Investors Rights Agreement, dated May 27, 2020, by and among</w:t>
              </w:r>
            </w:hyperlink>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4.2</w:t>
            </w:r>
          </w:p>
        </w:tc>
        <w:tc>
          <w:tcPr>
            <w:tcW w:w="1320" w:type="dxa"/>
            <w:vAlign w:val="bottom"/>
          </w:tcPr>
          <w:p>
            <w:pPr>
              <w:jc w:val="center"/>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20" w:type="dxa"/>
            <w:vAlign w:val="bottom"/>
            <w:tcBorders>
              <w:top w:val="single" w:sz="8" w:color="0000FF"/>
            </w:tcBorders>
            <w:gridSpan w:val="23"/>
          </w:tcPr>
          <w:p>
            <w:pPr>
              <w:spacing w:after="0" w:line="142" w:lineRule="exact"/>
              <w:rPr>
                <w:rFonts w:ascii="Arial" w:cs="Arial" w:eastAsia="Arial" w:hAnsi="Arial"/>
                <w:sz w:val="14"/>
                <w:szCs w:val="14"/>
                <w:color w:val="0000FF"/>
              </w:rPr>
            </w:pPr>
            <w:hyperlink r:id="rId157">
              <w:r>
                <w:rPr>
                  <w:rFonts w:ascii="Arial" w:cs="Arial" w:eastAsia="Arial" w:hAnsi="Arial"/>
                  <w:sz w:val="14"/>
                  <w:szCs w:val="14"/>
                  <w:color w:val="0000FF"/>
                </w:rPr>
                <w:t>the Registrant and certain of its stockholders.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top w:val="single" w:sz="8" w:color="0000FF"/>
              <w:bottom w:val="single" w:sz="8" w:color="0000FF"/>
            </w:tcBorders>
            <w:gridSpan w:val="10"/>
          </w:tcPr>
          <w:p>
            <w:pPr>
              <w:spacing w:after="0"/>
              <w:rPr>
                <w:rFonts w:ascii="Arial" w:cs="Arial" w:eastAsia="Arial" w:hAnsi="Arial"/>
                <w:sz w:val="14"/>
                <w:szCs w:val="14"/>
                <w:color w:val="0000FF"/>
              </w:rPr>
            </w:pPr>
            <w:hyperlink r:id="rId158">
              <w:r>
                <w:rPr>
                  <w:rFonts w:ascii="Arial" w:cs="Arial" w:eastAsia="Arial" w:hAnsi="Arial"/>
                  <w:sz w:val="14"/>
                  <w:szCs w:val="14"/>
                  <w:color w:val="0000FF"/>
                </w:rPr>
                <w:t>Description of the Registrant’s Securities.</w:t>
              </w:r>
            </w:hyperlink>
          </w:p>
        </w:tc>
        <w:tc>
          <w:tcPr>
            <w:tcW w:w="240" w:type="dxa"/>
            <w:vAlign w:val="bottom"/>
            <w:tcBorders>
              <w:top w:val="single" w:sz="8" w:color="0000FF"/>
            </w:tcBorders>
            <w:gridSpan w:val="2"/>
          </w:tcPr>
          <w:p>
            <w:pPr>
              <w:spacing w:after="0"/>
              <w:rPr>
                <w:sz w:val="17"/>
                <w:szCs w:val="17"/>
                <w:color w:val="auto"/>
              </w:rPr>
            </w:pPr>
          </w:p>
        </w:tc>
        <w:tc>
          <w:tcPr>
            <w:tcW w:w="2940" w:type="dxa"/>
            <w:vAlign w:val="bottom"/>
            <w:gridSpan w:val="15"/>
          </w:tcPr>
          <w:p>
            <w:pPr>
              <w:spacing w:after="0"/>
              <w:rPr>
                <w:sz w:val="17"/>
                <w:szCs w:val="17"/>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4.8</w:t>
            </w:r>
          </w:p>
        </w:tc>
        <w:tc>
          <w:tcPr>
            <w:tcW w:w="1320" w:type="dxa"/>
            <w:vAlign w:val="bottom"/>
          </w:tcPr>
          <w:p>
            <w:pPr>
              <w:jc w:val="center"/>
              <w:spacing w:after="0"/>
              <w:rPr>
                <w:sz w:val="20"/>
                <w:szCs w:val="20"/>
                <w:color w:val="auto"/>
              </w:rPr>
            </w:pPr>
            <w:r>
              <w:rPr>
                <w:rFonts w:ascii="Arial" w:cs="Arial" w:eastAsia="Arial" w:hAnsi="Arial"/>
                <w:sz w:val="14"/>
                <w:szCs w:val="14"/>
                <w:color w:val="auto"/>
              </w:rPr>
              <w:t>March 11, 2022</w:t>
            </w: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line="182" w:lineRule="exact"/>
              <w:rPr>
                <w:sz w:val="20"/>
                <w:szCs w:val="20"/>
                <w:color w:val="auto"/>
              </w:rPr>
            </w:pPr>
            <w:r>
              <w:rPr>
                <w:rFonts w:ascii="Arial" w:cs="Arial" w:eastAsia="Arial" w:hAnsi="Arial"/>
                <w:sz w:val="14"/>
                <w:szCs w:val="14"/>
                <w:color w:val="auto"/>
                <w:w w:val="94"/>
              </w:rPr>
              <w:t>10.1</w:t>
            </w:r>
            <w:r>
              <w:rPr>
                <w:rFonts w:ascii="Arial" w:cs="Arial" w:eastAsia="Arial" w:hAnsi="Arial"/>
                <w:sz w:val="18"/>
                <w:szCs w:val="18"/>
                <w:color w:val="auto"/>
                <w:w w:val="94"/>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gridSpan w:val="27"/>
          </w:tcPr>
          <w:p>
            <w:pPr>
              <w:spacing w:after="0"/>
              <w:rPr>
                <w:rFonts w:ascii="Arial" w:cs="Arial" w:eastAsia="Arial" w:hAnsi="Arial"/>
                <w:sz w:val="14"/>
                <w:szCs w:val="14"/>
                <w:color w:val="0000FF"/>
              </w:rPr>
            </w:pPr>
            <w:hyperlink r:id="rId159">
              <w:r>
                <w:rPr>
                  <w:rFonts w:ascii="Arial" w:cs="Arial" w:eastAsia="Arial" w:hAnsi="Arial"/>
                  <w:sz w:val="14"/>
                  <w:szCs w:val="14"/>
                  <w:color w:val="0000FF"/>
                </w:rPr>
                <w:t>Form of Amended and Restated Indemnification Agreement between the Registrant and</w:t>
              </w:r>
            </w:hyperlink>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1320" w:type="dxa"/>
            <w:vAlign w:val="bottom"/>
          </w:tcPr>
          <w:p>
            <w:pPr>
              <w:jc w:val="center"/>
              <w:spacing w:after="0"/>
              <w:rPr>
                <w:sz w:val="20"/>
                <w:szCs w:val="20"/>
                <w:color w:val="auto"/>
              </w:rPr>
            </w:pPr>
            <w:r>
              <w:rPr>
                <w:rFonts w:ascii="Arial" w:cs="Arial" w:eastAsia="Arial" w:hAnsi="Arial"/>
                <w:sz w:val="14"/>
                <w:szCs w:val="14"/>
                <w:color w:val="auto"/>
              </w:rPr>
              <w:t>February 28, 2023</w:t>
            </w:r>
          </w:p>
        </w:tc>
        <w:tc>
          <w:tcPr>
            <w:tcW w:w="0" w:type="dxa"/>
            <w:vAlign w:val="bottom"/>
          </w:tcPr>
          <w:p>
            <w:pPr>
              <w:spacing w:after="0"/>
              <w:rPr>
                <w:sz w:val="1"/>
                <w:szCs w:val="1"/>
                <w:color w:val="auto"/>
              </w:rPr>
            </w:pPr>
          </w:p>
        </w:tc>
      </w:tr>
      <w:tr>
        <w:trPr>
          <w:trHeight w:val="128"/>
        </w:trPr>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4"/>
              </w:rPr>
              <w:t>10.2</w:t>
            </w:r>
            <w:r>
              <w:rPr>
                <w:rFonts w:ascii="Arial" w:cs="Arial" w:eastAsia="Arial" w:hAnsi="Arial"/>
                <w:sz w:val="18"/>
                <w:szCs w:val="18"/>
                <w:color w:val="auto"/>
                <w:w w:val="94"/>
                <w:vertAlign w:val="superscript"/>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59">
              <w:r>
                <w:rPr>
                  <w:rFonts w:ascii="Arial" w:cs="Arial" w:eastAsia="Arial" w:hAnsi="Arial"/>
                  <w:sz w:val="14"/>
                  <w:szCs w:val="14"/>
                  <w:color w:val="0000FF"/>
                </w:rPr>
                <w:t>each of its directors and executive officers.</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7"/>
          </w:tcPr>
          <w:p>
            <w:pPr>
              <w:spacing w:after="0"/>
              <w:rPr>
                <w:rFonts w:ascii="Arial" w:cs="Arial" w:eastAsia="Arial" w:hAnsi="Arial"/>
                <w:sz w:val="14"/>
                <w:szCs w:val="14"/>
                <w:color w:val="0000FF"/>
              </w:rPr>
            </w:pPr>
            <w:hyperlink r:id="rId160">
              <w:r>
                <w:rPr>
                  <w:rFonts w:ascii="Arial" w:cs="Arial" w:eastAsia="Arial" w:hAnsi="Arial"/>
                  <w:sz w:val="14"/>
                  <w:szCs w:val="14"/>
                  <w:color w:val="0000FF"/>
                </w:rPr>
                <w:t>Amended  and  Restated  2011  Equity  Incentive  Plan,  as  amended,  and  forms  of</w:t>
              </w:r>
            </w:hyperlink>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1320" w:type="dxa"/>
            <w:vAlign w:val="bottom"/>
          </w:tcPr>
          <w:p>
            <w:pPr>
              <w:jc w:val="center"/>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129"/>
        </w:trPr>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4"/>
              </w:rPr>
              <w:t>10.3</w:t>
            </w:r>
            <w:r>
              <w:rPr>
                <w:rFonts w:ascii="Arial" w:cs="Arial" w:eastAsia="Arial" w:hAnsi="Arial"/>
                <w:sz w:val="18"/>
                <w:szCs w:val="18"/>
                <w:color w:val="auto"/>
                <w:w w:val="94"/>
                <w:vertAlign w:val="superscript"/>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160">
              <w:r>
                <w:rPr>
                  <w:rFonts w:ascii="Arial" w:cs="Arial" w:eastAsia="Arial" w:hAnsi="Arial"/>
                  <w:sz w:val="14"/>
                  <w:szCs w:val="14"/>
                  <w:color w:val="0000FF"/>
                </w:rPr>
                <w:t>agreements thereunder.</w:t>
              </w:r>
            </w:hyperlink>
          </w:p>
        </w:tc>
        <w:tc>
          <w:tcPr>
            <w:tcW w:w="420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7"/>
          </w:tcPr>
          <w:p>
            <w:pPr>
              <w:spacing w:after="0"/>
              <w:rPr>
                <w:rFonts w:ascii="Arial" w:cs="Arial" w:eastAsia="Arial" w:hAnsi="Arial"/>
                <w:sz w:val="14"/>
                <w:szCs w:val="14"/>
                <w:color w:val="0000FF"/>
              </w:rPr>
            </w:pPr>
            <w:hyperlink r:id="rId161">
              <w:r>
                <w:rPr>
                  <w:rFonts w:ascii="Arial" w:cs="Arial" w:eastAsia="Arial" w:hAnsi="Arial"/>
                  <w:sz w:val="14"/>
                  <w:szCs w:val="14"/>
                  <w:color w:val="0000FF"/>
                </w:rPr>
                <w:t>2021 Stock Option and Incentive Plan, and forms of agreements thereunder.</w:t>
              </w:r>
            </w:hyperlink>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1320" w:type="dxa"/>
            <w:vAlign w:val="bottom"/>
          </w:tcPr>
          <w:p>
            <w:pPr>
              <w:jc w:val="center"/>
              <w:spacing w:after="0"/>
              <w:rPr>
                <w:sz w:val="20"/>
                <w:szCs w:val="20"/>
                <w:color w:val="auto"/>
              </w:rPr>
            </w:pPr>
            <w:r>
              <w:rPr>
                <w:rFonts w:ascii="Arial" w:cs="Arial" w:eastAsia="Arial" w:hAnsi="Arial"/>
                <w:sz w:val="14"/>
                <w:szCs w:val="14"/>
                <w:color w:val="auto"/>
              </w:rPr>
              <w:t>June 1, 2021</w:t>
            </w: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line="182" w:lineRule="exact"/>
              <w:rPr>
                <w:sz w:val="20"/>
                <w:szCs w:val="20"/>
                <w:color w:val="auto"/>
              </w:rPr>
            </w:pPr>
            <w:r>
              <w:rPr>
                <w:rFonts w:ascii="Arial" w:cs="Arial" w:eastAsia="Arial" w:hAnsi="Arial"/>
                <w:sz w:val="14"/>
                <w:szCs w:val="14"/>
                <w:color w:val="auto"/>
                <w:w w:val="94"/>
              </w:rPr>
              <w:t>10.4</w:t>
            </w:r>
            <w:r>
              <w:rPr>
                <w:rFonts w:ascii="Arial" w:cs="Arial" w:eastAsia="Arial" w:hAnsi="Arial"/>
                <w:sz w:val="18"/>
                <w:szCs w:val="18"/>
                <w:color w:val="auto"/>
                <w:w w:val="94"/>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top w:val="single" w:sz="8" w:color="0000FF"/>
            </w:tcBorders>
            <w:gridSpan w:val="18"/>
          </w:tcPr>
          <w:p>
            <w:pPr>
              <w:spacing w:after="0"/>
              <w:rPr>
                <w:rFonts w:ascii="Arial" w:cs="Arial" w:eastAsia="Arial" w:hAnsi="Arial"/>
                <w:sz w:val="14"/>
                <w:szCs w:val="14"/>
                <w:color w:val="0000FF"/>
              </w:rPr>
            </w:pPr>
            <w:hyperlink r:id="rId162">
              <w:r>
                <w:rPr>
                  <w:rFonts w:ascii="Arial" w:cs="Arial" w:eastAsia="Arial" w:hAnsi="Arial"/>
                  <w:sz w:val="14"/>
                  <w:szCs w:val="14"/>
                  <w:color w:val="0000FF"/>
                </w:rPr>
                <w:t>2021 Employee Stock Purchase Plan.</w:t>
              </w:r>
            </w:hyperlink>
          </w:p>
        </w:tc>
        <w:tc>
          <w:tcPr>
            <w:tcW w:w="960" w:type="dxa"/>
            <w:vAlign w:val="bottom"/>
            <w:gridSpan w:val="9"/>
          </w:tcPr>
          <w:p>
            <w:pPr>
              <w:spacing w:after="0"/>
              <w:rPr>
                <w:sz w:val="15"/>
                <w:szCs w:val="15"/>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10.4</w:t>
            </w:r>
          </w:p>
        </w:tc>
        <w:tc>
          <w:tcPr>
            <w:tcW w:w="1320" w:type="dxa"/>
            <w:vAlign w:val="bottom"/>
          </w:tcPr>
          <w:p>
            <w:pPr>
              <w:jc w:val="center"/>
              <w:spacing w:after="0"/>
              <w:rPr>
                <w:sz w:val="20"/>
                <w:szCs w:val="20"/>
                <w:color w:val="auto"/>
              </w:rPr>
            </w:pPr>
            <w:r>
              <w:rPr>
                <w:rFonts w:ascii="Arial" w:cs="Arial" w:eastAsia="Arial" w:hAnsi="Arial"/>
                <w:sz w:val="14"/>
                <w:szCs w:val="14"/>
                <w:color w:val="auto"/>
              </w:rPr>
              <w:t>June 1,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line="202" w:lineRule="exact"/>
              <w:rPr>
                <w:sz w:val="20"/>
                <w:szCs w:val="20"/>
                <w:color w:val="auto"/>
              </w:rPr>
            </w:pPr>
            <w:r>
              <w:rPr>
                <w:rFonts w:ascii="Arial" w:cs="Arial" w:eastAsia="Arial" w:hAnsi="Arial"/>
                <w:sz w:val="14"/>
                <w:szCs w:val="14"/>
                <w:color w:val="auto"/>
                <w:w w:val="94"/>
              </w:rPr>
              <w:t>10.5</w:t>
            </w:r>
            <w:r>
              <w:rPr>
                <w:rFonts w:ascii="Arial" w:cs="Arial" w:eastAsia="Arial" w:hAnsi="Arial"/>
                <w:sz w:val="18"/>
                <w:szCs w:val="18"/>
                <w:color w:val="auto"/>
                <w:w w:val="94"/>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tcBorders>
              <w:bottom w:val="single" w:sz="8" w:color="0000FF"/>
            </w:tcBorders>
            <w:gridSpan w:val="13"/>
          </w:tcPr>
          <w:p>
            <w:pPr>
              <w:spacing w:after="0"/>
              <w:rPr>
                <w:rFonts w:ascii="Arial" w:cs="Arial" w:eastAsia="Arial" w:hAnsi="Arial"/>
                <w:sz w:val="14"/>
                <w:szCs w:val="14"/>
                <w:color w:val="0000FF"/>
              </w:rPr>
            </w:pPr>
            <w:hyperlink r:id="rId163">
              <w:r>
                <w:rPr>
                  <w:rFonts w:ascii="Arial" w:cs="Arial" w:eastAsia="Arial" w:hAnsi="Arial"/>
                  <w:sz w:val="14"/>
                  <w:szCs w:val="14"/>
                  <w:color w:val="0000FF"/>
                </w:rPr>
                <w:t>Senior Executive Cash Incentive Bonus Plan.</w:t>
              </w:r>
            </w:hyperlink>
          </w:p>
        </w:tc>
        <w:tc>
          <w:tcPr>
            <w:tcW w:w="2920" w:type="dxa"/>
            <w:vAlign w:val="bottom"/>
            <w:gridSpan w:val="14"/>
          </w:tcPr>
          <w:p>
            <w:pPr>
              <w:spacing w:after="0"/>
              <w:rPr>
                <w:sz w:val="15"/>
                <w:szCs w:val="15"/>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10.5</w:t>
            </w:r>
          </w:p>
        </w:tc>
        <w:tc>
          <w:tcPr>
            <w:tcW w:w="1320" w:type="dxa"/>
            <w:vAlign w:val="bottom"/>
          </w:tcPr>
          <w:p>
            <w:pPr>
              <w:jc w:val="center"/>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4"/>
              </w:rPr>
              <w:t>10.6</w:t>
            </w:r>
            <w:r>
              <w:rPr>
                <w:rFonts w:ascii="Arial" w:cs="Arial" w:eastAsia="Arial" w:hAnsi="Arial"/>
                <w:sz w:val="18"/>
                <w:szCs w:val="18"/>
                <w:color w:val="auto"/>
                <w:w w:val="94"/>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64">
              <w:r>
                <w:rPr>
                  <w:rFonts w:ascii="Arial" w:cs="Arial" w:eastAsia="Arial" w:hAnsi="Arial"/>
                  <w:sz w:val="14"/>
                  <w:szCs w:val="14"/>
                  <w:color w:val="0000FF"/>
                </w:rPr>
                <w:t>Executive Severance Plan.</w:t>
              </w:r>
            </w:hyperlink>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10.6</w:t>
            </w:r>
          </w:p>
        </w:tc>
        <w:tc>
          <w:tcPr>
            <w:tcW w:w="1320" w:type="dxa"/>
            <w:vAlign w:val="bottom"/>
          </w:tcPr>
          <w:p>
            <w:pPr>
              <w:jc w:val="center"/>
              <w:spacing w:after="0"/>
              <w:rPr>
                <w:sz w:val="20"/>
                <w:szCs w:val="20"/>
                <w:color w:val="auto"/>
              </w:rPr>
            </w:pPr>
            <w:r>
              <w:rPr>
                <w:rFonts w:ascii="Arial" w:cs="Arial" w:eastAsia="Arial" w:hAnsi="Arial"/>
                <w:sz w:val="14"/>
                <w:szCs w:val="14"/>
                <w:color w:val="auto"/>
              </w:rPr>
              <w:t>May 24,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4"/>
              </w:rPr>
              <w:t>10.7</w:t>
            </w:r>
            <w:r>
              <w:rPr>
                <w:rFonts w:ascii="Arial" w:cs="Arial" w:eastAsia="Arial" w:hAnsi="Arial"/>
                <w:sz w:val="18"/>
                <w:szCs w:val="18"/>
                <w:color w:val="auto"/>
                <w:w w:val="94"/>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5"/>
          </w:tcPr>
          <w:p>
            <w:pPr>
              <w:spacing w:after="0"/>
              <w:rPr>
                <w:rFonts w:ascii="Arial" w:cs="Arial" w:eastAsia="Arial" w:hAnsi="Arial"/>
                <w:sz w:val="14"/>
                <w:szCs w:val="14"/>
                <w:color w:val="0000FF"/>
              </w:rPr>
            </w:pPr>
            <w:hyperlink r:id="rId165">
              <w:r>
                <w:rPr>
                  <w:rFonts w:ascii="Arial" w:cs="Arial" w:eastAsia="Arial" w:hAnsi="Arial"/>
                  <w:sz w:val="14"/>
                  <w:szCs w:val="14"/>
                  <w:color w:val="0000FF"/>
                </w:rPr>
                <w:t>Amended Non-Employee Director Compensation Policy.</w:t>
              </w:r>
            </w:hyperlink>
          </w:p>
        </w:tc>
        <w:tc>
          <w:tcPr>
            <w:tcW w:w="2240" w:type="dxa"/>
            <w:vAlign w:val="bottom"/>
            <w:gridSpan w:val="12"/>
          </w:tcPr>
          <w:p>
            <w:pPr>
              <w:spacing w:after="0"/>
              <w:rPr>
                <w:sz w:val="17"/>
                <w:szCs w:val="17"/>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8-K</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1320" w:type="dxa"/>
            <w:vAlign w:val="bottom"/>
          </w:tcPr>
          <w:p>
            <w:pPr>
              <w:jc w:val="center"/>
              <w:spacing w:after="0"/>
              <w:rPr>
                <w:sz w:val="20"/>
                <w:szCs w:val="20"/>
                <w:color w:val="auto"/>
              </w:rPr>
            </w:pPr>
            <w:r>
              <w:rPr>
                <w:rFonts w:ascii="Arial" w:cs="Arial" w:eastAsia="Arial" w:hAnsi="Arial"/>
                <w:sz w:val="14"/>
                <w:szCs w:val="14"/>
                <w:color w:val="auto"/>
              </w:rPr>
              <w:t>July 19, 2024</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4"/>
              </w:rPr>
              <w:t>10.8</w:t>
            </w:r>
            <w:r>
              <w:rPr>
                <w:rFonts w:ascii="Arial" w:cs="Arial" w:eastAsia="Arial" w:hAnsi="Arial"/>
                <w:sz w:val="18"/>
                <w:szCs w:val="18"/>
                <w:color w:val="auto"/>
                <w:w w:val="94"/>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66">
              <w:r>
                <w:rPr>
                  <w:rFonts w:ascii="Arial" w:cs="Arial" w:eastAsia="Arial" w:hAnsi="Arial"/>
                  <w:sz w:val="14"/>
                  <w:szCs w:val="14"/>
                  <w:color w:val="0000FF"/>
                </w:rPr>
                <w:t>Form of Director Offer Letter.</w:t>
              </w:r>
            </w:hyperlink>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333-256154</w:t>
            </w:r>
          </w:p>
        </w:tc>
        <w:tc>
          <w:tcPr>
            <w:tcW w:w="1020" w:type="dxa"/>
            <w:vAlign w:val="bottom"/>
          </w:tcPr>
          <w:p>
            <w:pPr>
              <w:jc w:val="center"/>
              <w:spacing w:after="0"/>
              <w:rPr>
                <w:sz w:val="20"/>
                <w:szCs w:val="20"/>
                <w:color w:val="auto"/>
              </w:rPr>
            </w:pPr>
            <w:r>
              <w:rPr>
                <w:rFonts w:ascii="Arial" w:cs="Arial" w:eastAsia="Arial" w:hAnsi="Arial"/>
                <w:sz w:val="14"/>
                <w:szCs w:val="14"/>
                <w:color w:val="auto"/>
              </w:rPr>
              <w:t>10.12</w:t>
            </w:r>
          </w:p>
        </w:tc>
        <w:tc>
          <w:tcPr>
            <w:tcW w:w="1320" w:type="dxa"/>
            <w:vAlign w:val="bottom"/>
          </w:tcPr>
          <w:p>
            <w:pPr>
              <w:jc w:val="center"/>
              <w:spacing w:after="0"/>
              <w:rPr>
                <w:sz w:val="20"/>
                <w:szCs w:val="20"/>
                <w:color w:val="auto"/>
              </w:rPr>
            </w:pPr>
            <w:r>
              <w:rPr>
                <w:rFonts w:ascii="Arial" w:cs="Arial" w:eastAsia="Arial" w:hAnsi="Arial"/>
                <w:sz w:val="14"/>
                <w:szCs w:val="14"/>
                <w:color w:val="auto"/>
              </w:rPr>
              <w:t>May 14, 2021</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4"/>
              </w:rPr>
              <w:t>10.9</w:t>
            </w:r>
            <w:r>
              <w:rPr>
                <w:rFonts w:ascii="Arial" w:cs="Arial" w:eastAsia="Arial" w:hAnsi="Arial"/>
                <w:sz w:val="18"/>
                <w:szCs w:val="18"/>
                <w:color w:val="auto"/>
                <w:w w:val="94"/>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8"/>
          </w:tcPr>
          <w:p>
            <w:pPr>
              <w:spacing w:after="0"/>
              <w:rPr>
                <w:rFonts w:ascii="Arial" w:cs="Arial" w:eastAsia="Arial" w:hAnsi="Arial"/>
                <w:sz w:val="14"/>
                <w:szCs w:val="14"/>
                <w:color w:val="0000FF"/>
              </w:rPr>
            </w:pPr>
            <w:r>
              <w:rPr>
                <w:rFonts w:ascii="Arial" w:cs="Arial" w:eastAsia="Arial" w:hAnsi="Arial"/>
                <w:sz w:val="14"/>
                <w:szCs w:val="14"/>
                <w:color w:val="0000FF"/>
              </w:rPr>
              <w:t xml:space="preserve">Form </w:t>
            </w:r>
            <w:hyperlink r:id="rId167">
              <w:r>
                <w:rPr>
                  <w:rFonts w:ascii="Arial" w:cs="Arial" w:eastAsia="Arial" w:hAnsi="Arial"/>
                  <w:sz w:val="14"/>
                  <w:szCs w:val="14"/>
                  <w:color w:val="0000FF"/>
                </w:rPr>
                <w:t xml:space="preserve">of Employee </w:t>
              </w:r>
            </w:hyperlink>
            <w:r>
              <w:rPr>
                <w:rFonts w:ascii="Arial" w:cs="Arial" w:eastAsia="Arial" w:hAnsi="Arial"/>
                <w:sz w:val="14"/>
                <w:szCs w:val="14"/>
                <w:color w:val="0000FF"/>
              </w:rPr>
              <w:t xml:space="preserve">Retention </w:t>
            </w:r>
            <w:hyperlink r:id="rId167">
              <w:r>
                <w:rPr>
                  <w:rFonts w:ascii="Arial" w:cs="Arial" w:eastAsia="Arial" w:hAnsi="Arial"/>
                  <w:sz w:val="14"/>
                  <w:szCs w:val="14"/>
                  <w:color w:val="0000FF"/>
                </w:rPr>
                <w:t>Letter.</w:t>
              </w:r>
            </w:hyperlink>
          </w:p>
        </w:tc>
        <w:tc>
          <w:tcPr>
            <w:tcW w:w="3540" w:type="dxa"/>
            <w:vAlign w:val="bottom"/>
            <w:gridSpan w:val="19"/>
          </w:tcPr>
          <w:p>
            <w:pPr>
              <w:spacing w:after="0"/>
              <w:rPr>
                <w:sz w:val="17"/>
                <w:szCs w:val="17"/>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10.4</w:t>
            </w:r>
          </w:p>
        </w:tc>
        <w:tc>
          <w:tcPr>
            <w:tcW w:w="1320" w:type="dxa"/>
            <w:vAlign w:val="bottom"/>
          </w:tcPr>
          <w:p>
            <w:pPr>
              <w:jc w:val="center"/>
              <w:spacing w:after="0"/>
              <w:rPr>
                <w:sz w:val="20"/>
                <w:szCs w:val="20"/>
                <w:color w:val="auto"/>
              </w:rPr>
            </w:pPr>
            <w:r>
              <w:rPr>
                <w:rFonts w:ascii="Arial" w:cs="Arial" w:eastAsia="Arial" w:hAnsi="Arial"/>
                <w:sz w:val="14"/>
                <w:szCs w:val="14"/>
                <w:color w:val="auto"/>
              </w:rPr>
              <w:t>May 7, 2025</w:t>
            </w: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5"/>
              </w:rPr>
              <w:t>10.10</w:t>
            </w:r>
            <w:r>
              <w:rPr>
                <w:rFonts w:ascii="Arial" w:cs="Arial" w:eastAsia="Arial" w:hAnsi="Arial"/>
                <w:sz w:val="18"/>
                <w:szCs w:val="18"/>
                <w:color w:val="auto"/>
                <w:w w:val="95"/>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68">
              <w:r>
                <w:rPr>
                  <w:rFonts w:ascii="Arial" w:cs="Arial" w:eastAsia="Arial" w:hAnsi="Arial"/>
                  <w:sz w:val="14"/>
                  <w:szCs w:val="14"/>
                  <w:color w:val="0000FF"/>
                </w:rPr>
                <w:t>Offer Letters between the Registrant and Simon Khalaf dated May 25, 2022 and January</w:t>
              </w:r>
            </w:hyperlink>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10.9</w:t>
            </w:r>
          </w:p>
        </w:tc>
        <w:tc>
          <w:tcPr>
            <w:tcW w:w="1320" w:type="dxa"/>
            <w:vAlign w:val="bottom"/>
          </w:tcPr>
          <w:p>
            <w:pPr>
              <w:jc w:val="center"/>
              <w:spacing w:after="0"/>
              <w:rPr>
                <w:sz w:val="20"/>
                <w:szCs w:val="20"/>
                <w:color w:val="auto"/>
              </w:rPr>
            </w:pPr>
            <w:r>
              <w:rPr>
                <w:rFonts w:ascii="Arial" w:cs="Arial" w:eastAsia="Arial" w:hAnsi="Arial"/>
                <w:sz w:val="14"/>
                <w:szCs w:val="14"/>
                <w:color w:val="auto"/>
              </w:rPr>
              <w:t>February 28, 2023</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9"/>
              </w:rPr>
            </w:pPr>
            <w:hyperlink r:id="rId168">
              <w:r>
                <w:rPr>
                  <w:rFonts w:ascii="Arial" w:cs="Arial" w:eastAsia="Arial" w:hAnsi="Arial"/>
                  <w:sz w:val="14"/>
                  <w:szCs w:val="14"/>
                  <w:color w:val="0000FF"/>
                  <w:w w:val="99"/>
                </w:rPr>
                <w:t>26, 2023.</w:t>
              </w:r>
            </w:hyperlink>
          </w:p>
        </w:tc>
        <w:tc>
          <w:tcPr>
            <w:tcW w:w="5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5"/>
              </w:rPr>
              <w:t>10.11</w:t>
            </w:r>
            <w:r>
              <w:rPr>
                <w:rFonts w:ascii="Arial" w:cs="Arial" w:eastAsia="Arial" w:hAnsi="Arial"/>
                <w:sz w:val="18"/>
                <w:szCs w:val="18"/>
                <w:color w:val="auto"/>
                <w:w w:val="95"/>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69">
              <w:r>
                <w:rPr>
                  <w:rFonts w:ascii="Arial" w:cs="Arial" w:eastAsia="Arial" w:hAnsi="Arial"/>
                  <w:sz w:val="14"/>
                  <w:szCs w:val="14"/>
                  <w:color w:val="0000FF"/>
                </w:rPr>
                <w:t>Separation Agreement by and between Marqeta, Inc. and Simon Khalaf, dated March 1,</w:t>
              </w:r>
            </w:hyperlink>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1320" w:type="dxa"/>
            <w:vAlign w:val="bottom"/>
          </w:tcPr>
          <w:p>
            <w:pPr>
              <w:jc w:val="center"/>
              <w:spacing w:after="0"/>
              <w:rPr>
                <w:sz w:val="20"/>
                <w:szCs w:val="20"/>
                <w:color w:val="auto"/>
              </w:rPr>
            </w:pPr>
            <w:r>
              <w:rPr>
                <w:rFonts w:ascii="Arial" w:cs="Arial" w:eastAsia="Arial" w:hAnsi="Arial"/>
                <w:sz w:val="14"/>
                <w:szCs w:val="14"/>
                <w:color w:val="auto"/>
              </w:rPr>
              <w:t>May 7, 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rPr>
            </w:pPr>
            <w:hyperlink r:id="rId169">
              <w:r>
                <w:rPr>
                  <w:rFonts w:ascii="Arial" w:cs="Arial" w:eastAsia="Arial" w:hAnsi="Arial"/>
                  <w:sz w:val="14"/>
                  <w:szCs w:val="14"/>
                  <w:color w:val="0000FF"/>
                </w:rPr>
                <w:t>2025.</w:t>
              </w:r>
            </w:hyperlink>
          </w:p>
        </w:tc>
        <w:tc>
          <w:tcPr>
            <w:tcW w:w="2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5"/>
              </w:rPr>
              <w:t>10.12</w:t>
            </w:r>
            <w:r>
              <w:rPr>
                <w:rFonts w:ascii="Arial" w:cs="Arial" w:eastAsia="Arial" w:hAnsi="Arial"/>
                <w:sz w:val="18"/>
                <w:szCs w:val="18"/>
                <w:color w:val="auto"/>
                <w:w w:val="95"/>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70">
              <w:r>
                <w:rPr>
                  <w:rFonts w:ascii="Arial" w:cs="Arial" w:eastAsia="Arial" w:hAnsi="Arial"/>
                  <w:sz w:val="14"/>
                  <w:szCs w:val="14"/>
                  <w:color w:val="0000FF"/>
                </w:rPr>
                <w:t>Offer Letter between the Registrant and Michael (Mike) Milotich dated February 3, 2022.</w:t>
              </w:r>
            </w:hyperlink>
          </w:p>
        </w:tc>
        <w:tc>
          <w:tcPr>
            <w:tcW w:w="72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10.16</w:t>
            </w:r>
          </w:p>
        </w:tc>
        <w:tc>
          <w:tcPr>
            <w:tcW w:w="1320" w:type="dxa"/>
            <w:vAlign w:val="bottom"/>
          </w:tcPr>
          <w:p>
            <w:pPr>
              <w:jc w:val="center"/>
              <w:spacing w:after="0"/>
              <w:rPr>
                <w:sz w:val="20"/>
                <w:szCs w:val="20"/>
                <w:color w:val="auto"/>
              </w:rPr>
            </w:pPr>
            <w:r>
              <w:rPr>
                <w:rFonts w:ascii="Arial" w:cs="Arial" w:eastAsia="Arial" w:hAnsi="Arial"/>
                <w:sz w:val="14"/>
                <w:szCs w:val="14"/>
                <w:color w:val="auto"/>
              </w:rPr>
              <w:t>March 11, 2022</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5"/>
              </w:rPr>
              <w:t>10.13</w:t>
            </w:r>
            <w:r>
              <w:rPr>
                <w:rFonts w:ascii="Arial" w:cs="Arial" w:eastAsia="Arial" w:hAnsi="Arial"/>
                <w:sz w:val="18"/>
                <w:szCs w:val="18"/>
                <w:color w:val="auto"/>
                <w:w w:val="95"/>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71">
              <w:r>
                <w:rPr>
                  <w:rFonts w:ascii="Arial" w:cs="Arial" w:eastAsia="Arial" w:hAnsi="Arial"/>
                  <w:sz w:val="14"/>
                  <w:szCs w:val="14"/>
                  <w:color w:val="0000FF"/>
                </w:rPr>
                <w:t>Offer Letter between the Registrant and Michael (Mike) Milotich dated September 8,</w:t>
              </w:r>
            </w:hyperlink>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1320" w:type="dxa"/>
            <w:vAlign w:val="bottom"/>
          </w:tcPr>
          <w:p>
            <w:pPr>
              <w:jc w:val="center"/>
              <w:spacing w:after="0"/>
              <w:rPr>
                <w:sz w:val="20"/>
                <w:szCs w:val="20"/>
                <w:color w:val="auto"/>
              </w:rPr>
            </w:pPr>
            <w:r>
              <w:rPr>
                <w:rFonts w:ascii="Arial" w:cs="Arial" w:eastAsia="Arial" w:hAnsi="Arial"/>
                <w:sz w:val="14"/>
                <w:szCs w:val="14"/>
                <w:color w:val="auto"/>
              </w:rPr>
              <w:t>November 5, 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6"/>
              </w:rPr>
            </w:pPr>
            <w:hyperlink r:id="rId171">
              <w:r>
                <w:rPr>
                  <w:rFonts w:ascii="Arial" w:cs="Arial" w:eastAsia="Arial" w:hAnsi="Arial"/>
                  <w:sz w:val="14"/>
                  <w:szCs w:val="14"/>
                  <w:color w:val="0000FF"/>
                  <w:w w:val="96"/>
                </w:rPr>
                <w:t>2025.</w:t>
              </w:r>
            </w:hyperlink>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5"/>
              </w:rPr>
              <w:t>10.14</w:t>
            </w:r>
            <w:r>
              <w:rPr>
                <w:rFonts w:ascii="Arial" w:cs="Arial" w:eastAsia="Arial" w:hAnsi="Arial"/>
                <w:sz w:val="18"/>
                <w:szCs w:val="18"/>
                <w:color w:val="auto"/>
                <w:w w:val="95"/>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72">
              <w:r>
                <w:rPr>
                  <w:rFonts w:ascii="Arial" w:cs="Arial" w:eastAsia="Arial" w:hAnsi="Arial"/>
                  <w:sz w:val="14"/>
                  <w:szCs w:val="14"/>
                  <w:color w:val="0000FF"/>
                </w:rPr>
                <w:t>Offer Letters between the Registrant and Todd Pollak, dated November 4, 2022 and</w:t>
              </w:r>
            </w:hyperlink>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1320" w:type="dxa"/>
            <w:vAlign w:val="bottom"/>
          </w:tcPr>
          <w:p>
            <w:pPr>
              <w:jc w:val="center"/>
              <w:spacing w:after="0"/>
              <w:rPr>
                <w:sz w:val="20"/>
                <w:szCs w:val="20"/>
                <w:color w:val="auto"/>
              </w:rPr>
            </w:pPr>
            <w:r>
              <w:rPr>
                <w:rFonts w:ascii="Arial" w:cs="Arial" w:eastAsia="Arial" w:hAnsi="Arial"/>
                <w:sz w:val="14"/>
                <w:szCs w:val="14"/>
                <w:color w:val="auto"/>
              </w:rPr>
              <w:t>May 7, 2024</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rPr>
            </w:pPr>
            <w:hyperlink r:id="rId172">
              <w:r>
                <w:rPr>
                  <w:rFonts w:ascii="Arial" w:cs="Arial" w:eastAsia="Arial" w:hAnsi="Arial"/>
                  <w:sz w:val="14"/>
                  <w:szCs w:val="14"/>
                  <w:color w:val="0000FF"/>
                </w:rPr>
                <w:t>January 26, 2023.</w:t>
              </w:r>
            </w:hyperlink>
          </w:p>
        </w:tc>
        <w:tc>
          <w:tcPr>
            <w:tcW w:w="4600" w:type="dxa"/>
            <w:vAlign w:val="bottom"/>
            <w:tcBorders>
              <w:top w:val="single" w:sz="8" w:color="0000FF"/>
            </w:tcBorders>
            <w:gridSpan w:val="21"/>
          </w:tcPr>
          <w:p>
            <w:pPr>
              <w:spacing w:after="0"/>
              <w:rPr>
                <w:sz w:val="12"/>
                <w:szCs w:val="12"/>
                <w:color w:val="auto"/>
              </w:rPr>
            </w:pPr>
          </w:p>
        </w:tc>
        <w:tc>
          <w:tcPr>
            <w:tcW w:w="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spacing w:after="0" w:line="196" w:lineRule="exact"/>
              <w:rPr>
                <w:sz w:val="20"/>
                <w:szCs w:val="20"/>
                <w:color w:val="auto"/>
              </w:rPr>
            </w:pPr>
            <w:r>
              <w:rPr>
                <w:rFonts w:ascii="Arial" w:cs="Arial" w:eastAsia="Arial" w:hAnsi="Arial"/>
                <w:sz w:val="14"/>
                <w:szCs w:val="14"/>
                <w:color w:val="auto"/>
                <w:w w:val="95"/>
              </w:rPr>
              <w:t>10.15</w:t>
            </w:r>
            <w:r>
              <w:rPr>
                <w:rFonts w:ascii="Arial" w:cs="Arial" w:eastAsia="Arial" w:hAnsi="Arial"/>
                <w:sz w:val="18"/>
                <w:szCs w:val="18"/>
                <w:color w:val="auto"/>
                <w:w w:val="95"/>
                <w:vertAlign w:val="superscript"/>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rFonts w:ascii="Arial" w:cs="Arial" w:eastAsia="Arial" w:hAnsi="Arial"/>
                <w:sz w:val="14"/>
                <w:szCs w:val="14"/>
                <w:color w:val="0000FF"/>
              </w:rPr>
            </w:pPr>
            <w:hyperlink r:id="rId173">
              <w:r>
                <w:rPr>
                  <w:rFonts w:ascii="Arial" w:cs="Arial" w:eastAsia="Arial" w:hAnsi="Arial"/>
                  <w:sz w:val="14"/>
                  <w:szCs w:val="14"/>
                  <w:color w:val="0000FF"/>
                </w:rPr>
                <w:t>Offer Letter between the Registrant and Crystal Sumner, dated January 6, 2023.</w:t>
              </w:r>
            </w:hyperlink>
          </w:p>
        </w:tc>
        <w:tc>
          <w:tcPr>
            <w:tcW w:w="720" w:type="dxa"/>
            <w:vAlign w:val="bottom"/>
          </w:tcPr>
          <w:p>
            <w:pPr>
              <w:jc w:val="center"/>
              <w:ind w:right="8"/>
              <w:spacing w:after="0"/>
              <w:rPr>
                <w:sz w:val="20"/>
                <w:szCs w:val="20"/>
                <w:color w:val="auto"/>
              </w:rPr>
            </w:pPr>
            <w:r>
              <w:rPr>
                <w:rFonts w:ascii="Arial" w:cs="Arial" w:eastAsia="Arial" w:hAnsi="Arial"/>
                <w:sz w:val="14"/>
                <w:szCs w:val="14"/>
                <w:color w:val="auto"/>
              </w:rPr>
              <w:t>10-Q</w:t>
            </w:r>
          </w:p>
        </w:tc>
        <w:tc>
          <w:tcPr>
            <w:tcW w:w="1260" w:type="dxa"/>
            <w:vAlign w:val="bottom"/>
          </w:tcPr>
          <w:p>
            <w:pPr>
              <w:jc w:val="center"/>
              <w:spacing w:after="0"/>
              <w:rPr>
                <w:sz w:val="20"/>
                <w:szCs w:val="20"/>
                <w:color w:val="auto"/>
              </w:rPr>
            </w:pPr>
            <w:r>
              <w:rPr>
                <w:rFonts w:ascii="Arial" w:cs="Arial" w:eastAsia="Arial" w:hAnsi="Arial"/>
                <w:sz w:val="14"/>
                <w:szCs w:val="14"/>
                <w:color w:val="auto"/>
              </w:rPr>
              <w:t>001-40465</w:t>
            </w:r>
          </w:p>
        </w:tc>
        <w:tc>
          <w:tcPr>
            <w:tcW w:w="1020" w:type="dxa"/>
            <w:vAlign w:val="bottom"/>
          </w:tcPr>
          <w:p>
            <w:pPr>
              <w:jc w:val="center"/>
              <w:spacing w:after="0"/>
              <w:rPr>
                <w:sz w:val="20"/>
                <w:szCs w:val="20"/>
                <w:color w:val="auto"/>
              </w:rPr>
            </w:pPr>
            <w:r>
              <w:rPr>
                <w:rFonts w:ascii="Arial" w:cs="Arial" w:eastAsia="Arial" w:hAnsi="Arial"/>
                <w:sz w:val="14"/>
                <w:szCs w:val="14"/>
                <w:color w:val="auto"/>
              </w:rPr>
              <w:t>10.4</w:t>
            </w:r>
          </w:p>
        </w:tc>
        <w:tc>
          <w:tcPr>
            <w:tcW w:w="1320" w:type="dxa"/>
            <w:vAlign w:val="bottom"/>
          </w:tcPr>
          <w:p>
            <w:pPr>
              <w:jc w:val="center"/>
              <w:spacing w:after="0"/>
              <w:rPr>
                <w:sz w:val="20"/>
                <w:szCs w:val="20"/>
                <w:color w:val="auto"/>
              </w:rPr>
            </w:pPr>
            <w:r>
              <w:rPr>
                <w:rFonts w:ascii="Arial" w:cs="Arial" w:eastAsia="Arial" w:hAnsi="Arial"/>
                <w:sz w:val="14"/>
                <w:szCs w:val="14"/>
                <w:color w:val="auto"/>
              </w:rPr>
              <w:t>May 7, 2024</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10.16*</w:t>
            </w:r>
            <w:r>
              <w:rPr>
                <w:rFonts w:ascii="Arial" w:cs="Arial" w:eastAsia="Arial" w:hAnsi="Arial"/>
                <w:sz w:val="18"/>
                <w:szCs w:val="18"/>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00" w:type="dxa"/>
            <w:vAlign w:val="bottom"/>
            <w:gridSpan w:val="1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7"/>
          </w:tcPr>
          <w:p>
            <w:pPr>
              <w:spacing w:after="0"/>
              <w:rPr>
                <w:sz w:val="20"/>
                <w:szCs w:val="20"/>
                <w:color w:val="auto"/>
              </w:rPr>
            </w:pPr>
            <w:r>
              <w:rPr>
                <w:rFonts w:ascii="Arial" w:cs="Arial" w:eastAsia="Arial" w:hAnsi="Arial"/>
                <w:sz w:val="14"/>
                <w:szCs w:val="14"/>
                <w:color w:val="0000FF"/>
              </w:rPr>
              <w:t>Offer Letter between the Registrant and Patti Kangwankij, dated January 6, 2026.</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10.17</w:t>
            </w:r>
          </w:p>
        </w:tc>
        <w:tc>
          <w:tcPr>
            <w:tcW w:w="5960" w:type="dxa"/>
            <w:vAlign w:val="bottom"/>
            <w:gridSpan w:val="37"/>
          </w:tcPr>
          <w:p>
            <w:pPr>
              <w:spacing w:after="0"/>
              <w:rPr>
                <w:rFonts w:ascii="Arial" w:cs="Arial" w:eastAsia="Arial" w:hAnsi="Arial"/>
                <w:sz w:val="14"/>
                <w:szCs w:val="14"/>
                <w:color w:val="0000FF"/>
              </w:rPr>
            </w:pPr>
            <w:hyperlink r:id="rId175">
              <w:r>
                <w:rPr>
                  <w:rFonts w:ascii="Arial" w:cs="Arial" w:eastAsia="Arial" w:hAnsi="Arial"/>
                  <w:sz w:val="14"/>
                  <w:szCs w:val="14"/>
                  <w:color w:val="0000FF"/>
                </w:rPr>
                <w:t>Lease Agreement by and between the Registrant and MACH II 180 LLC, dated on or</w:t>
              </w:r>
            </w:hyperlink>
          </w:p>
        </w:tc>
        <w:tc>
          <w:tcPr>
            <w:tcW w:w="60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10.13</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February 28, 2024</w:t>
            </w:r>
          </w:p>
        </w:tc>
      </w:tr>
      <w:tr>
        <w:trPr>
          <w:trHeight w:val="142"/>
        </w:trPr>
        <w:tc>
          <w:tcPr>
            <w:tcW w:w="840" w:type="dxa"/>
            <w:vAlign w:val="bottom"/>
          </w:tcPr>
          <w:p>
            <w:pPr>
              <w:spacing w:after="0"/>
              <w:rPr>
                <w:sz w:val="12"/>
                <w:szCs w:val="12"/>
                <w:color w:val="auto"/>
              </w:rPr>
            </w:pPr>
          </w:p>
        </w:tc>
        <w:tc>
          <w:tcPr>
            <w:tcW w:w="5800" w:type="dxa"/>
            <w:vAlign w:val="bottom"/>
            <w:tcBorders>
              <w:top w:val="single" w:sz="8" w:color="0000FF"/>
            </w:tcBorders>
            <w:gridSpan w:val="29"/>
          </w:tcPr>
          <w:p>
            <w:pPr>
              <w:spacing w:after="0" w:line="142" w:lineRule="exact"/>
              <w:rPr>
                <w:rFonts w:ascii="Arial" w:cs="Arial" w:eastAsia="Arial" w:hAnsi="Arial"/>
                <w:sz w:val="14"/>
                <w:szCs w:val="14"/>
                <w:color w:val="0000FF"/>
              </w:rPr>
            </w:pPr>
            <w:hyperlink r:id="rId175">
              <w:r>
                <w:rPr>
                  <w:rFonts w:ascii="Arial" w:cs="Arial" w:eastAsia="Arial" w:hAnsi="Arial"/>
                  <w:sz w:val="14"/>
                  <w:szCs w:val="14"/>
                  <w:color w:val="0000FF"/>
                </w:rPr>
                <w:t>about March 1, 2016, as amended on November 8, 2017, March 14, 2019,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5720" w:type="dxa"/>
            <w:vAlign w:val="bottom"/>
            <w:tcBorders>
              <w:top w:val="single" w:sz="8" w:color="0000FF"/>
            </w:tcBorders>
            <w:gridSpan w:val="25"/>
          </w:tcPr>
          <w:p>
            <w:pPr>
              <w:spacing w:after="0" w:line="142" w:lineRule="exact"/>
              <w:rPr>
                <w:rFonts w:ascii="Arial" w:cs="Arial" w:eastAsia="Arial" w:hAnsi="Arial"/>
                <w:sz w:val="14"/>
                <w:szCs w:val="14"/>
                <w:color w:val="0000FF"/>
              </w:rPr>
            </w:pPr>
            <w:hyperlink r:id="rId175">
              <w:r>
                <w:rPr>
                  <w:rFonts w:ascii="Arial" w:cs="Arial" w:eastAsia="Arial" w:hAnsi="Arial"/>
                  <w:sz w:val="14"/>
                  <w:szCs w:val="14"/>
                  <w:color w:val="0000FF"/>
                </w:rPr>
                <w:t>November 7,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10.18</w:t>
            </w:r>
          </w:p>
        </w:tc>
        <w:tc>
          <w:tcPr>
            <w:tcW w:w="5960" w:type="dxa"/>
            <w:vAlign w:val="bottom"/>
            <w:gridSpan w:val="37"/>
          </w:tcPr>
          <w:p>
            <w:pPr>
              <w:spacing w:after="0"/>
              <w:rPr>
                <w:rFonts w:ascii="Arial" w:cs="Arial" w:eastAsia="Arial" w:hAnsi="Arial"/>
                <w:sz w:val="14"/>
                <w:szCs w:val="14"/>
                <w:color w:val="0000FF"/>
              </w:rPr>
            </w:pPr>
            <w:hyperlink r:id="rId176">
              <w:r>
                <w:rPr>
                  <w:rFonts w:ascii="Arial" w:cs="Arial" w:eastAsia="Arial" w:hAnsi="Arial"/>
                  <w:sz w:val="14"/>
                  <w:szCs w:val="14"/>
                  <w:color w:val="0000FF"/>
                </w:rPr>
                <w:t>Fourth Amendment to Lease, by and between Marqeta, Inc. and 180 Grand, LLC, dated</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August 6, 2025</w:t>
            </w:r>
          </w:p>
        </w:tc>
      </w:tr>
      <w:tr>
        <w:trPr>
          <w:trHeight w:val="142"/>
        </w:trPr>
        <w:tc>
          <w:tcPr>
            <w:tcW w:w="840" w:type="dxa"/>
            <w:vAlign w:val="bottom"/>
          </w:tcPr>
          <w:p>
            <w:pPr>
              <w:spacing w:after="0"/>
              <w:rPr>
                <w:sz w:val="12"/>
                <w:szCs w:val="12"/>
                <w:color w:val="auto"/>
              </w:rPr>
            </w:pPr>
          </w:p>
        </w:tc>
        <w:tc>
          <w:tcPr>
            <w:tcW w:w="5740" w:type="dxa"/>
            <w:vAlign w:val="bottom"/>
            <w:tcBorders>
              <w:top w:val="single" w:sz="8" w:color="0000FF"/>
            </w:tcBorders>
            <w:gridSpan w:val="26"/>
          </w:tcPr>
          <w:p>
            <w:pPr>
              <w:spacing w:after="0" w:line="142" w:lineRule="exact"/>
              <w:rPr>
                <w:rFonts w:ascii="Arial" w:cs="Arial" w:eastAsia="Arial" w:hAnsi="Arial"/>
                <w:sz w:val="14"/>
                <w:szCs w:val="14"/>
                <w:color w:val="0000FF"/>
              </w:rPr>
            </w:pPr>
            <w:hyperlink r:id="rId176">
              <w:r>
                <w:rPr>
                  <w:rFonts w:ascii="Arial" w:cs="Arial" w:eastAsia="Arial" w:hAnsi="Arial"/>
                  <w:sz w:val="14"/>
                  <w:szCs w:val="14"/>
                  <w:color w:val="0000FF"/>
                </w:rPr>
                <w:t>as of April 10,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10.19†</w:t>
            </w:r>
          </w:p>
        </w:tc>
        <w:tc>
          <w:tcPr>
            <w:tcW w:w="5960" w:type="dxa"/>
            <w:vAlign w:val="bottom"/>
            <w:gridSpan w:val="37"/>
          </w:tcPr>
          <w:p>
            <w:pPr>
              <w:spacing w:after="0"/>
              <w:rPr>
                <w:rFonts w:ascii="Arial" w:cs="Arial" w:eastAsia="Arial" w:hAnsi="Arial"/>
                <w:sz w:val="14"/>
                <w:szCs w:val="14"/>
                <w:color w:val="0000FF"/>
              </w:rPr>
            </w:pPr>
            <w:hyperlink r:id="rId177">
              <w:r>
                <w:rPr>
                  <w:rFonts w:ascii="Arial" w:cs="Arial" w:eastAsia="Arial" w:hAnsi="Arial"/>
                  <w:sz w:val="14"/>
                  <w:szCs w:val="14"/>
                  <w:color w:val="0000FF"/>
                </w:rPr>
                <w:t>Master Services Agreement by and between the Registrant and Square, Inc., dated April</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10.4</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May 9, 2023</w:t>
            </w:r>
          </w:p>
        </w:tc>
      </w:tr>
      <w:tr>
        <w:trPr>
          <w:trHeight w:val="142"/>
        </w:trPr>
        <w:tc>
          <w:tcPr>
            <w:tcW w:w="84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32"/>
          </w:tcPr>
          <w:p>
            <w:pPr>
              <w:spacing w:after="0" w:line="142" w:lineRule="exact"/>
              <w:rPr>
                <w:rFonts w:ascii="Arial" w:cs="Arial" w:eastAsia="Arial" w:hAnsi="Arial"/>
                <w:sz w:val="14"/>
                <w:szCs w:val="14"/>
                <w:color w:val="0000FF"/>
              </w:rPr>
            </w:pPr>
            <w:hyperlink r:id="rId177">
              <w:r>
                <w:rPr>
                  <w:rFonts w:ascii="Arial" w:cs="Arial" w:eastAsia="Arial" w:hAnsi="Arial"/>
                  <w:sz w:val="14"/>
                  <w:szCs w:val="14"/>
                  <w:color w:val="0000FF"/>
                </w:rPr>
                <w:t>19, 2016, as amended on September 1, 2016, October 18, 2016, December 24, 2016,</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5940" w:type="dxa"/>
            <w:vAlign w:val="bottom"/>
            <w:gridSpan w:val="36"/>
          </w:tcPr>
          <w:p>
            <w:pPr>
              <w:spacing w:after="0" w:line="142" w:lineRule="exact"/>
              <w:rPr>
                <w:rFonts w:ascii="Arial" w:cs="Arial" w:eastAsia="Arial" w:hAnsi="Arial"/>
                <w:sz w:val="14"/>
                <w:szCs w:val="14"/>
                <w:color w:val="0000FF"/>
              </w:rPr>
            </w:pPr>
            <w:hyperlink r:id="rId177">
              <w:r>
                <w:rPr>
                  <w:rFonts w:ascii="Arial" w:cs="Arial" w:eastAsia="Arial" w:hAnsi="Arial"/>
                  <w:sz w:val="14"/>
                  <w:szCs w:val="14"/>
                  <w:color w:val="0000FF"/>
                </w:rPr>
                <w:t>June 30, 2017, August 2, 2017, October 1, 2017, April 1, 2018, June 6, 2019, September</w:t>
              </w:r>
            </w:hyperlink>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5820" w:type="dxa"/>
            <w:vAlign w:val="bottom"/>
            <w:tcBorders>
              <w:top w:val="single" w:sz="8" w:color="0000FF"/>
            </w:tcBorders>
            <w:gridSpan w:val="30"/>
          </w:tcPr>
          <w:p>
            <w:pPr>
              <w:spacing w:after="0" w:line="142" w:lineRule="exact"/>
              <w:rPr>
                <w:rFonts w:ascii="Arial" w:cs="Arial" w:eastAsia="Arial" w:hAnsi="Arial"/>
                <w:sz w:val="14"/>
                <w:szCs w:val="14"/>
                <w:color w:val="0000FF"/>
              </w:rPr>
            </w:pPr>
            <w:hyperlink r:id="rId177">
              <w:r>
                <w:rPr>
                  <w:rFonts w:ascii="Arial" w:cs="Arial" w:eastAsia="Arial" w:hAnsi="Arial"/>
                  <w:sz w:val="14"/>
                  <w:szCs w:val="14"/>
                  <w:color w:val="0000FF"/>
                </w:rPr>
                <w:t>20, 2019, February 7, 2020, November 18, 2020, November 18, 2020, March 13,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5760" w:type="dxa"/>
            <w:vAlign w:val="bottom"/>
            <w:tcBorders>
              <w:top w:val="single" w:sz="8" w:color="0000FF"/>
            </w:tcBorders>
            <w:gridSpan w:val="27"/>
          </w:tcPr>
          <w:p>
            <w:pPr>
              <w:spacing w:after="0" w:line="142" w:lineRule="exact"/>
              <w:rPr>
                <w:rFonts w:ascii="Arial" w:cs="Arial" w:eastAsia="Arial" w:hAnsi="Arial"/>
                <w:sz w:val="14"/>
                <w:szCs w:val="14"/>
                <w:color w:val="0000FF"/>
              </w:rPr>
            </w:pPr>
            <w:hyperlink r:id="rId177">
              <w:r>
                <w:rPr>
                  <w:rFonts w:ascii="Arial" w:cs="Arial" w:eastAsia="Arial" w:hAnsi="Arial"/>
                  <w:sz w:val="14"/>
                  <w:szCs w:val="14"/>
                  <w:color w:val="0000FF"/>
                </w:rPr>
                <w:t>May 21, 2021, January 27, 2022, and March 1, 2023.</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w w:val="99"/>
              </w:rPr>
              <w:t>10.20*†</w:t>
            </w:r>
          </w:p>
        </w:tc>
        <w:tc>
          <w:tcPr>
            <w:tcW w:w="5960" w:type="dxa"/>
            <w:vAlign w:val="bottom"/>
            <w:gridSpan w:val="37"/>
          </w:tcPr>
          <w:p>
            <w:pPr>
              <w:spacing w:after="0"/>
              <w:rPr>
                <w:sz w:val="20"/>
                <w:szCs w:val="20"/>
                <w:color w:val="auto"/>
              </w:rPr>
            </w:pPr>
            <w:r>
              <w:rPr>
                <w:rFonts w:ascii="Arial" w:cs="Arial" w:eastAsia="Arial" w:hAnsi="Arial"/>
                <w:sz w:val="14"/>
                <w:szCs w:val="14"/>
                <w:color w:val="0000FF"/>
              </w:rPr>
              <w:t>Amendment No. 27 to the Master Services Agreement by and between the Registrant</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42"/>
        </w:trPr>
        <w:tc>
          <w:tcPr>
            <w:tcW w:w="840" w:type="dxa"/>
            <w:vAlign w:val="bottom"/>
          </w:tcPr>
          <w:p>
            <w:pPr>
              <w:spacing w:after="0"/>
              <w:rPr>
                <w:sz w:val="12"/>
                <w:szCs w:val="12"/>
                <w:color w:val="auto"/>
              </w:rPr>
            </w:pPr>
          </w:p>
        </w:tc>
        <w:tc>
          <w:tcPr>
            <w:tcW w:w="5680" w:type="dxa"/>
            <w:vAlign w:val="bottom"/>
            <w:tcBorders>
              <w:top w:val="single" w:sz="8" w:color="0000FF"/>
            </w:tcBorders>
            <w:gridSpan w:val="23"/>
          </w:tcPr>
          <w:p>
            <w:pPr>
              <w:spacing w:after="0" w:line="142" w:lineRule="exact"/>
              <w:rPr>
                <w:sz w:val="20"/>
                <w:szCs w:val="20"/>
                <w:color w:val="auto"/>
              </w:rPr>
            </w:pPr>
            <w:r>
              <w:rPr>
                <w:rFonts w:ascii="Arial" w:cs="Arial" w:eastAsia="Arial" w:hAnsi="Arial"/>
                <w:sz w:val="14"/>
                <w:szCs w:val="14"/>
                <w:color w:val="0000FF"/>
              </w:rPr>
              <w:t>and Block, Inc. dated January 22, 2026.</w:t>
            </w: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10.21†</w:t>
            </w:r>
          </w:p>
        </w:tc>
        <w:tc>
          <w:tcPr>
            <w:tcW w:w="5960" w:type="dxa"/>
            <w:vAlign w:val="bottom"/>
            <w:gridSpan w:val="37"/>
          </w:tcPr>
          <w:p>
            <w:pPr>
              <w:spacing w:after="0"/>
              <w:rPr>
                <w:rFonts w:ascii="Arial" w:cs="Arial" w:eastAsia="Arial" w:hAnsi="Arial"/>
                <w:sz w:val="14"/>
                <w:szCs w:val="14"/>
                <w:color w:val="0000FF"/>
              </w:rPr>
            </w:pPr>
            <w:hyperlink r:id="rId178">
              <w:r>
                <w:rPr>
                  <w:rFonts w:ascii="Arial" w:cs="Arial" w:eastAsia="Arial" w:hAnsi="Arial"/>
                  <w:sz w:val="14"/>
                  <w:szCs w:val="14"/>
                  <w:color w:val="0000FF"/>
                </w:rPr>
                <w:t>Amendment No. 26 to the Master Services Agreement by and between the Registrant</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November 5, 2025</w:t>
            </w:r>
          </w:p>
        </w:tc>
      </w:tr>
      <w:tr>
        <w:trPr>
          <w:trHeight w:val="142"/>
        </w:trPr>
        <w:tc>
          <w:tcPr>
            <w:tcW w:w="840" w:type="dxa"/>
            <w:vAlign w:val="bottom"/>
          </w:tcPr>
          <w:p>
            <w:pPr>
              <w:spacing w:after="0"/>
              <w:rPr>
                <w:sz w:val="12"/>
                <w:szCs w:val="12"/>
                <w:color w:val="auto"/>
              </w:rPr>
            </w:pPr>
          </w:p>
        </w:tc>
        <w:tc>
          <w:tcPr>
            <w:tcW w:w="570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178">
              <w:r>
                <w:rPr>
                  <w:rFonts w:ascii="Arial" w:cs="Arial" w:eastAsia="Arial" w:hAnsi="Arial"/>
                  <w:sz w:val="14"/>
                  <w:szCs w:val="14"/>
                  <w:color w:val="0000FF"/>
                </w:rPr>
                <w:t>and Block, Inc. dated August 11, 2025 and effective as of June 30, 2025.</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10.22†</w:t>
            </w:r>
          </w:p>
        </w:tc>
        <w:tc>
          <w:tcPr>
            <w:tcW w:w="5960" w:type="dxa"/>
            <w:vAlign w:val="bottom"/>
            <w:gridSpan w:val="37"/>
          </w:tcPr>
          <w:p>
            <w:pPr>
              <w:spacing w:after="0"/>
              <w:rPr>
                <w:rFonts w:ascii="Arial" w:cs="Arial" w:eastAsia="Arial" w:hAnsi="Arial"/>
                <w:sz w:val="14"/>
                <w:szCs w:val="14"/>
                <w:color w:val="0000FF"/>
              </w:rPr>
            </w:pPr>
            <w:hyperlink r:id="rId179">
              <w:r>
                <w:rPr>
                  <w:rFonts w:ascii="Arial" w:cs="Arial" w:eastAsia="Arial" w:hAnsi="Arial"/>
                  <w:sz w:val="14"/>
                  <w:szCs w:val="14"/>
                  <w:color w:val="0000FF"/>
                </w:rPr>
                <w:t>Amendment No. 25 to the Master Services Agreement by and between the Registrant</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May 7, 2025</w:t>
            </w:r>
          </w:p>
        </w:tc>
      </w:tr>
      <w:tr>
        <w:trPr>
          <w:trHeight w:val="142"/>
        </w:trPr>
        <w:tc>
          <w:tcPr>
            <w:tcW w:w="840" w:type="dxa"/>
            <w:vAlign w:val="bottom"/>
          </w:tcPr>
          <w:p>
            <w:pPr>
              <w:spacing w:after="0"/>
              <w:rPr>
                <w:sz w:val="12"/>
                <w:szCs w:val="12"/>
                <w:color w:val="auto"/>
              </w:rPr>
            </w:pPr>
          </w:p>
        </w:tc>
        <w:tc>
          <w:tcPr>
            <w:tcW w:w="570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179">
              <w:r>
                <w:rPr>
                  <w:rFonts w:ascii="Arial" w:cs="Arial" w:eastAsia="Arial" w:hAnsi="Arial"/>
                  <w:sz w:val="14"/>
                  <w:szCs w:val="14"/>
                  <w:color w:val="0000FF"/>
                </w:rPr>
                <w:t>and Block, Inc. dated March 26, 2025.</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10.23†</w:t>
            </w:r>
          </w:p>
        </w:tc>
        <w:tc>
          <w:tcPr>
            <w:tcW w:w="5960" w:type="dxa"/>
            <w:vAlign w:val="bottom"/>
            <w:gridSpan w:val="37"/>
          </w:tcPr>
          <w:p>
            <w:pPr>
              <w:spacing w:after="0"/>
              <w:rPr>
                <w:rFonts w:ascii="Arial" w:cs="Arial" w:eastAsia="Arial" w:hAnsi="Arial"/>
                <w:sz w:val="14"/>
                <w:szCs w:val="14"/>
                <w:color w:val="0000FF"/>
              </w:rPr>
            </w:pPr>
            <w:hyperlink r:id="rId180">
              <w:r>
                <w:rPr>
                  <w:rFonts w:ascii="Arial" w:cs="Arial" w:eastAsia="Arial" w:hAnsi="Arial"/>
                  <w:sz w:val="14"/>
                  <w:szCs w:val="14"/>
                  <w:color w:val="0000FF"/>
                </w:rPr>
                <w:t>Amendment No. 24 to the Master Services Agreement by and between the Registrant</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10.2</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May 7, 2025</w:t>
            </w:r>
          </w:p>
        </w:tc>
      </w:tr>
      <w:tr>
        <w:trPr>
          <w:trHeight w:val="142"/>
        </w:trPr>
        <w:tc>
          <w:tcPr>
            <w:tcW w:w="840" w:type="dxa"/>
            <w:vAlign w:val="bottom"/>
          </w:tcPr>
          <w:p>
            <w:pPr>
              <w:spacing w:after="0"/>
              <w:rPr>
                <w:sz w:val="12"/>
                <w:szCs w:val="12"/>
                <w:color w:val="auto"/>
              </w:rPr>
            </w:pPr>
          </w:p>
        </w:tc>
        <w:tc>
          <w:tcPr>
            <w:tcW w:w="570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180">
              <w:r>
                <w:rPr>
                  <w:rFonts w:ascii="Arial" w:cs="Arial" w:eastAsia="Arial" w:hAnsi="Arial"/>
                  <w:sz w:val="14"/>
                  <w:szCs w:val="14"/>
                  <w:color w:val="0000FF"/>
                </w:rPr>
                <w:t>and Block, Inc. dated February 28, 2025.</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10.24†</w:t>
            </w:r>
          </w:p>
        </w:tc>
        <w:tc>
          <w:tcPr>
            <w:tcW w:w="5960" w:type="dxa"/>
            <w:vAlign w:val="bottom"/>
            <w:gridSpan w:val="37"/>
          </w:tcPr>
          <w:p>
            <w:pPr>
              <w:spacing w:after="0"/>
              <w:rPr>
                <w:rFonts w:ascii="Arial" w:cs="Arial" w:eastAsia="Arial" w:hAnsi="Arial"/>
                <w:sz w:val="14"/>
                <w:szCs w:val="14"/>
                <w:color w:val="0000FF"/>
              </w:rPr>
            </w:pPr>
            <w:hyperlink r:id="rId181">
              <w:r>
                <w:rPr>
                  <w:rFonts w:ascii="Arial" w:cs="Arial" w:eastAsia="Arial" w:hAnsi="Arial"/>
                  <w:sz w:val="14"/>
                  <w:szCs w:val="14"/>
                  <w:color w:val="0000FF"/>
                </w:rPr>
                <w:t>Amendment No. 23 to the Master Services Agreement by and between the Registrant</w:t>
              </w:r>
            </w:hyperlink>
          </w:p>
        </w:tc>
        <w:tc>
          <w:tcPr>
            <w:tcW w:w="60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10.17</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February 26, 2025</w:t>
            </w:r>
          </w:p>
        </w:tc>
      </w:tr>
      <w:tr>
        <w:trPr>
          <w:trHeight w:val="142"/>
        </w:trPr>
        <w:tc>
          <w:tcPr>
            <w:tcW w:w="840" w:type="dxa"/>
            <w:vAlign w:val="bottom"/>
          </w:tcPr>
          <w:p>
            <w:pPr>
              <w:spacing w:after="0"/>
              <w:rPr>
                <w:sz w:val="12"/>
                <w:szCs w:val="12"/>
                <w:color w:val="auto"/>
              </w:rPr>
            </w:pPr>
          </w:p>
        </w:tc>
        <w:tc>
          <w:tcPr>
            <w:tcW w:w="570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181">
              <w:r>
                <w:rPr>
                  <w:rFonts w:ascii="Arial" w:cs="Arial" w:eastAsia="Arial" w:hAnsi="Arial"/>
                  <w:sz w:val="14"/>
                  <w:szCs w:val="14"/>
                  <w:color w:val="0000FF"/>
                </w:rPr>
                <w:t>and Square, Inc. dated December 18, 2024.</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10.25†</w:t>
            </w:r>
          </w:p>
        </w:tc>
        <w:tc>
          <w:tcPr>
            <w:tcW w:w="5960" w:type="dxa"/>
            <w:vAlign w:val="bottom"/>
            <w:gridSpan w:val="37"/>
          </w:tcPr>
          <w:p>
            <w:pPr>
              <w:spacing w:after="0"/>
              <w:rPr>
                <w:rFonts w:ascii="Arial" w:cs="Arial" w:eastAsia="Arial" w:hAnsi="Arial"/>
                <w:sz w:val="14"/>
                <w:szCs w:val="14"/>
                <w:color w:val="0000FF"/>
              </w:rPr>
            </w:pPr>
            <w:hyperlink r:id="rId182">
              <w:r>
                <w:rPr>
                  <w:rFonts w:ascii="Arial" w:cs="Arial" w:eastAsia="Arial" w:hAnsi="Arial"/>
                  <w:sz w:val="14"/>
                  <w:szCs w:val="14"/>
                  <w:color w:val="0000FF"/>
                </w:rPr>
                <w:t>Amendment No. 22 to the Master Services Agreement by and between the Registrant</w:t>
              </w:r>
            </w:hyperlink>
          </w:p>
        </w:tc>
        <w:tc>
          <w:tcPr>
            <w:tcW w:w="60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10.18</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February 26, 2025</w:t>
            </w:r>
          </w:p>
        </w:tc>
      </w:tr>
      <w:tr>
        <w:trPr>
          <w:trHeight w:val="142"/>
        </w:trPr>
        <w:tc>
          <w:tcPr>
            <w:tcW w:w="84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9"/>
          </w:tcPr>
          <w:p>
            <w:pPr>
              <w:spacing w:after="0" w:line="142" w:lineRule="exact"/>
              <w:rPr>
                <w:rFonts w:ascii="Arial" w:cs="Arial" w:eastAsia="Arial" w:hAnsi="Arial"/>
                <w:sz w:val="14"/>
                <w:szCs w:val="14"/>
                <w:color w:val="0000FF"/>
              </w:rPr>
            </w:pPr>
            <w:hyperlink r:id="rId182">
              <w:r>
                <w:rPr>
                  <w:rFonts w:ascii="Arial" w:cs="Arial" w:eastAsia="Arial" w:hAnsi="Arial"/>
                  <w:sz w:val="14"/>
                  <w:szCs w:val="14"/>
                  <w:color w:val="0000FF"/>
                </w:rPr>
                <w:t>and Square, Inc. dated October 28, 2024.</w:t>
              </w:r>
            </w:hyperlink>
          </w:p>
        </w:tc>
        <w:tc>
          <w:tcPr>
            <w:tcW w:w="3040" w:type="dxa"/>
            <w:vAlign w:val="bottom"/>
            <w:tcBorders>
              <w:top w:val="single" w:sz="8" w:color="0000FF"/>
            </w:tcBorders>
            <w:gridSpan w:val="15"/>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10.26†</w:t>
            </w:r>
          </w:p>
        </w:tc>
        <w:tc>
          <w:tcPr>
            <w:tcW w:w="5960" w:type="dxa"/>
            <w:vAlign w:val="bottom"/>
            <w:gridSpan w:val="37"/>
          </w:tcPr>
          <w:p>
            <w:pPr>
              <w:spacing w:after="0"/>
              <w:rPr>
                <w:rFonts w:ascii="Arial" w:cs="Arial" w:eastAsia="Arial" w:hAnsi="Arial"/>
                <w:sz w:val="14"/>
                <w:szCs w:val="14"/>
                <w:color w:val="0000FF"/>
              </w:rPr>
            </w:pPr>
            <w:hyperlink r:id="rId183">
              <w:r>
                <w:rPr>
                  <w:rFonts w:ascii="Arial" w:cs="Arial" w:eastAsia="Arial" w:hAnsi="Arial"/>
                  <w:sz w:val="14"/>
                  <w:szCs w:val="14"/>
                  <w:color w:val="0000FF"/>
                </w:rPr>
                <w:t>Amendment No. 21 to the Master Services Agreement by and between the Registrant</w:t>
              </w:r>
            </w:hyperlink>
          </w:p>
        </w:tc>
        <w:tc>
          <w:tcPr>
            <w:tcW w:w="60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10.19</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February 26, 2025</w:t>
            </w:r>
          </w:p>
        </w:tc>
      </w:tr>
      <w:tr>
        <w:trPr>
          <w:trHeight w:val="142"/>
        </w:trPr>
        <w:tc>
          <w:tcPr>
            <w:tcW w:w="84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8"/>
          </w:tcPr>
          <w:p>
            <w:pPr>
              <w:spacing w:after="0" w:line="142" w:lineRule="exact"/>
              <w:rPr>
                <w:rFonts w:ascii="Arial" w:cs="Arial" w:eastAsia="Arial" w:hAnsi="Arial"/>
                <w:sz w:val="14"/>
                <w:szCs w:val="14"/>
                <w:color w:val="0000FF"/>
              </w:rPr>
            </w:pPr>
            <w:hyperlink r:id="rId183">
              <w:r>
                <w:rPr>
                  <w:rFonts w:ascii="Arial" w:cs="Arial" w:eastAsia="Arial" w:hAnsi="Arial"/>
                  <w:sz w:val="14"/>
                  <w:szCs w:val="14"/>
                  <w:color w:val="0000FF"/>
                </w:rPr>
                <w:t>and Square, Inc. dated October 4, 2024.</w:t>
              </w:r>
            </w:hyperlink>
          </w:p>
        </w:tc>
        <w:tc>
          <w:tcPr>
            <w:tcW w:w="3100" w:type="dxa"/>
            <w:vAlign w:val="bottom"/>
            <w:tcBorders>
              <w:top w:val="single" w:sz="8" w:color="0000FF"/>
            </w:tcBorders>
            <w:gridSpan w:val="1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10.27†</w:t>
            </w:r>
          </w:p>
        </w:tc>
        <w:tc>
          <w:tcPr>
            <w:tcW w:w="5960" w:type="dxa"/>
            <w:vAlign w:val="bottom"/>
            <w:tcBorders>
              <w:bottom w:val="single" w:sz="8" w:color="0000FF"/>
            </w:tcBorders>
            <w:gridSpan w:val="37"/>
          </w:tcPr>
          <w:p>
            <w:pPr>
              <w:spacing w:after="0"/>
              <w:rPr>
                <w:rFonts w:ascii="Arial" w:cs="Arial" w:eastAsia="Arial" w:hAnsi="Arial"/>
                <w:sz w:val="14"/>
                <w:szCs w:val="14"/>
                <w:color w:val="0000FF"/>
              </w:rPr>
            </w:pPr>
            <w:hyperlink r:id="rId184">
              <w:r>
                <w:rPr>
                  <w:rFonts w:ascii="Arial" w:cs="Arial" w:eastAsia="Arial" w:hAnsi="Arial"/>
                  <w:sz w:val="14"/>
                  <w:szCs w:val="14"/>
                  <w:color w:val="0000FF"/>
                </w:rPr>
                <w:t>Amendment to Amendment No. 19 to the Master Services Agreement by and between</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August 7, 2024</w:t>
            </w:r>
          </w:p>
        </w:tc>
      </w:tr>
      <w:tr>
        <w:trPr>
          <w:trHeight w:val="142"/>
        </w:trPr>
        <w:tc>
          <w:tcPr>
            <w:tcW w:w="840" w:type="dxa"/>
            <w:vAlign w:val="bottom"/>
          </w:tcPr>
          <w:p>
            <w:pPr>
              <w:spacing w:after="0"/>
              <w:rPr>
                <w:sz w:val="12"/>
                <w:szCs w:val="12"/>
                <w:color w:val="auto"/>
              </w:rPr>
            </w:pPr>
          </w:p>
        </w:tc>
        <w:tc>
          <w:tcPr>
            <w:tcW w:w="5960" w:type="dxa"/>
            <w:vAlign w:val="bottom"/>
            <w:gridSpan w:val="37"/>
          </w:tcPr>
          <w:p>
            <w:pPr>
              <w:spacing w:after="0" w:line="142" w:lineRule="exact"/>
              <w:rPr>
                <w:rFonts w:ascii="Arial" w:cs="Arial" w:eastAsia="Arial" w:hAnsi="Arial"/>
                <w:sz w:val="14"/>
                <w:szCs w:val="14"/>
                <w:color w:val="0000FF"/>
              </w:rPr>
            </w:pPr>
            <w:hyperlink r:id="rId184">
              <w:r>
                <w:rPr>
                  <w:rFonts w:ascii="Arial" w:cs="Arial" w:eastAsia="Arial" w:hAnsi="Arial"/>
                  <w:sz w:val="14"/>
                  <w:szCs w:val="14"/>
                  <w:color w:val="0000FF"/>
                </w:rPr>
                <w:t>the Registrant and Square, Inc. dated May 10, 2024.</w:t>
              </w:r>
            </w:hyperlink>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10.28†</w:t>
            </w:r>
          </w:p>
        </w:tc>
        <w:tc>
          <w:tcPr>
            <w:tcW w:w="5960" w:type="dxa"/>
            <w:vAlign w:val="bottom"/>
            <w:gridSpan w:val="37"/>
          </w:tcPr>
          <w:p>
            <w:pPr>
              <w:spacing w:after="0"/>
              <w:rPr>
                <w:rFonts w:ascii="Arial" w:cs="Arial" w:eastAsia="Arial" w:hAnsi="Arial"/>
                <w:sz w:val="14"/>
                <w:szCs w:val="14"/>
                <w:color w:val="0000FF"/>
              </w:rPr>
            </w:pPr>
            <w:hyperlink r:id="rId185">
              <w:r>
                <w:rPr>
                  <w:rFonts w:ascii="Arial" w:cs="Arial" w:eastAsia="Arial" w:hAnsi="Arial"/>
                  <w:sz w:val="14"/>
                  <w:szCs w:val="14"/>
                  <w:color w:val="0000FF"/>
                </w:rPr>
                <w:t>Amendment No. 19 to the Master Services Agreement by and between the Registrant</w:t>
              </w:r>
            </w:hyperlink>
          </w:p>
        </w:tc>
        <w:tc>
          <w:tcPr>
            <w:tcW w:w="60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10.15</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February 28, 2024</w:t>
            </w:r>
          </w:p>
        </w:tc>
      </w:tr>
      <w:tr>
        <w:trPr>
          <w:trHeight w:val="142"/>
        </w:trPr>
        <w:tc>
          <w:tcPr>
            <w:tcW w:w="840" w:type="dxa"/>
            <w:vAlign w:val="bottom"/>
          </w:tcPr>
          <w:p>
            <w:pPr>
              <w:spacing w:after="0"/>
              <w:rPr>
                <w:sz w:val="12"/>
                <w:szCs w:val="12"/>
                <w:color w:val="auto"/>
              </w:rPr>
            </w:pPr>
          </w:p>
        </w:tc>
        <w:tc>
          <w:tcPr>
            <w:tcW w:w="570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185">
              <w:r>
                <w:rPr>
                  <w:rFonts w:ascii="Arial" w:cs="Arial" w:eastAsia="Arial" w:hAnsi="Arial"/>
                  <w:sz w:val="14"/>
                  <w:szCs w:val="14"/>
                  <w:color w:val="0000FF"/>
                </w:rPr>
                <w:t>and Square, Inc. dated November 3, 2023.</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10.29</w:t>
            </w:r>
          </w:p>
        </w:tc>
        <w:tc>
          <w:tcPr>
            <w:tcW w:w="5960" w:type="dxa"/>
            <w:vAlign w:val="bottom"/>
            <w:gridSpan w:val="37"/>
          </w:tcPr>
          <w:p>
            <w:pPr>
              <w:spacing w:after="0"/>
              <w:rPr>
                <w:rFonts w:ascii="Arial" w:cs="Arial" w:eastAsia="Arial" w:hAnsi="Arial"/>
                <w:sz w:val="14"/>
                <w:szCs w:val="14"/>
                <w:color w:val="0000FF"/>
              </w:rPr>
            </w:pPr>
            <w:hyperlink r:id="rId186">
              <w:r>
                <w:rPr>
                  <w:rFonts w:ascii="Arial" w:cs="Arial" w:eastAsia="Arial" w:hAnsi="Arial"/>
                  <w:sz w:val="14"/>
                  <w:szCs w:val="14"/>
                  <w:color w:val="0000FF"/>
                </w:rPr>
                <w:t>Amendment No. 18 to the Master Services Agreement by and between the Registrant</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November 8, 2023</w:t>
            </w:r>
          </w:p>
        </w:tc>
      </w:tr>
      <w:tr>
        <w:trPr>
          <w:trHeight w:val="142"/>
        </w:trPr>
        <w:tc>
          <w:tcPr>
            <w:tcW w:w="840" w:type="dxa"/>
            <w:vAlign w:val="bottom"/>
          </w:tcPr>
          <w:p>
            <w:pPr>
              <w:spacing w:after="0"/>
              <w:rPr>
                <w:sz w:val="12"/>
                <w:szCs w:val="12"/>
                <w:color w:val="auto"/>
              </w:rPr>
            </w:pPr>
          </w:p>
        </w:tc>
        <w:tc>
          <w:tcPr>
            <w:tcW w:w="570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186">
              <w:r>
                <w:rPr>
                  <w:rFonts w:ascii="Arial" w:cs="Arial" w:eastAsia="Arial" w:hAnsi="Arial"/>
                  <w:sz w:val="14"/>
                  <w:szCs w:val="14"/>
                  <w:color w:val="0000FF"/>
                </w:rPr>
                <w:t>and Square, Inc. dated September 26, 2023.</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10.30†</w:t>
            </w:r>
          </w:p>
        </w:tc>
        <w:tc>
          <w:tcPr>
            <w:tcW w:w="5960" w:type="dxa"/>
            <w:vAlign w:val="bottom"/>
            <w:gridSpan w:val="37"/>
          </w:tcPr>
          <w:p>
            <w:pPr>
              <w:spacing w:after="0"/>
              <w:rPr>
                <w:rFonts w:ascii="Arial" w:cs="Arial" w:eastAsia="Arial" w:hAnsi="Arial"/>
                <w:sz w:val="14"/>
                <w:szCs w:val="14"/>
                <w:color w:val="0000FF"/>
              </w:rPr>
            </w:pPr>
            <w:hyperlink r:id="rId187">
              <w:r>
                <w:rPr>
                  <w:rFonts w:ascii="Arial" w:cs="Arial" w:eastAsia="Arial" w:hAnsi="Arial"/>
                  <w:sz w:val="14"/>
                  <w:szCs w:val="14"/>
                  <w:color w:val="0000FF"/>
                </w:rPr>
                <w:t>Amendment No. 17 to the Master Services Agreement by and between the Registrant</w:t>
              </w:r>
            </w:hyperlink>
          </w:p>
        </w:tc>
        <w:tc>
          <w:tcPr>
            <w:tcW w:w="600" w:type="dxa"/>
            <w:vAlign w:val="bottom"/>
          </w:tcPr>
          <w:p>
            <w:pPr>
              <w:jc w:val="center"/>
              <w:ind w:right="188"/>
              <w:spacing w:after="0"/>
              <w:rPr>
                <w:sz w:val="20"/>
                <w:szCs w:val="20"/>
                <w:color w:val="auto"/>
              </w:rPr>
            </w:pPr>
            <w:r>
              <w:rPr>
                <w:rFonts w:ascii="Arial" w:cs="Arial" w:eastAsia="Arial" w:hAnsi="Arial"/>
                <w:sz w:val="14"/>
                <w:szCs w:val="14"/>
                <w:color w:val="auto"/>
                <w:w w:val="96"/>
              </w:rPr>
              <w:t>8-K/A</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w:t>
            </w:r>
          </w:p>
        </w:tc>
        <w:tc>
          <w:tcPr>
            <w:tcW w:w="1380" w:type="dxa"/>
            <w:vAlign w:val="bottom"/>
          </w:tcPr>
          <w:p>
            <w:pPr>
              <w:jc w:val="center"/>
              <w:ind w:left="148"/>
              <w:spacing w:after="0"/>
              <w:rPr>
                <w:sz w:val="20"/>
                <w:szCs w:val="20"/>
                <w:color w:val="auto"/>
              </w:rPr>
            </w:pPr>
            <w:r>
              <w:rPr>
                <w:rFonts w:ascii="Arial" w:cs="Arial" w:eastAsia="Arial" w:hAnsi="Arial"/>
                <w:sz w:val="14"/>
                <w:szCs w:val="14"/>
                <w:color w:val="auto"/>
              </w:rPr>
              <w:t>August 11, 2023</w:t>
            </w:r>
          </w:p>
        </w:tc>
      </w:tr>
      <w:tr>
        <w:trPr>
          <w:trHeight w:val="142"/>
        </w:trPr>
        <w:tc>
          <w:tcPr>
            <w:tcW w:w="840" w:type="dxa"/>
            <w:vAlign w:val="bottom"/>
          </w:tcPr>
          <w:p>
            <w:pPr>
              <w:spacing w:after="0"/>
              <w:rPr>
                <w:sz w:val="12"/>
                <w:szCs w:val="12"/>
                <w:color w:val="auto"/>
              </w:rPr>
            </w:pPr>
          </w:p>
        </w:tc>
        <w:tc>
          <w:tcPr>
            <w:tcW w:w="570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187">
              <w:r>
                <w:rPr>
                  <w:rFonts w:ascii="Arial" w:cs="Arial" w:eastAsia="Arial" w:hAnsi="Arial"/>
                  <w:sz w:val="14"/>
                  <w:szCs w:val="14"/>
                  <w:color w:val="0000FF"/>
                </w:rPr>
                <w:t>and Square Inc. dated August 4, 2023.</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10.31†</w:t>
            </w:r>
          </w:p>
        </w:tc>
        <w:tc>
          <w:tcPr>
            <w:tcW w:w="5960" w:type="dxa"/>
            <w:vAlign w:val="bottom"/>
            <w:gridSpan w:val="37"/>
          </w:tcPr>
          <w:p>
            <w:pPr>
              <w:spacing w:after="0"/>
              <w:rPr>
                <w:rFonts w:ascii="Arial" w:cs="Arial" w:eastAsia="Arial" w:hAnsi="Arial"/>
                <w:sz w:val="14"/>
                <w:szCs w:val="14"/>
                <w:color w:val="0000FF"/>
              </w:rPr>
            </w:pPr>
            <w:hyperlink r:id="rId188">
              <w:r>
                <w:rPr>
                  <w:rFonts w:ascii="Arial" w:cs="Arial" w:eastAsia="Arial" w:hAnsi="Arial"/>
                  <w:sz w:val="14"/>
                  <w:szCs w:val="14"/>
                  <w:color w:val="0000FF"/>
                </w:rPr>
                <w:t>Amended and Restated  Card  Program  Manager  Agreement  by  and  between  the</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August 8, 2023</w:t>
            </w:r>
          </w:p>
        </w:tc>
      </w:tr>
      <w:tr>
        <w:trPr>
          <w:trHeight w:val="142"/>
        </w:trPr>
        <w:tc>
          <w:tcPr>
            <w:tcW w:w="840" w:type="dxa"/>
            <w:vAlign w:val="bottom"/>
          </w:tcPr>
          <w:p>
            <w:pPr>
              <w:spacing w:after="0"/>
              <w:rPr>
                <w:sz w:val="12"/>
                <w:szCs w:val="12"/>
                <w:color w:val="auto"/>
              </w:rPr>
            </w:pPr>
          </w:p>
        </w:tc>
        <w:tc>
          <w:tcPr>
            <w:tcW w:w="5840" w:type="dxa"/>
            <w:vAlign w:val="bottom"/>
            <w:tcBorders>
              <w:top w:val="single" w:sz="8" w:color="0000FF"/>
            </w:tcBorders>
            <w:gridSpan w:val="31"/>
          </w:tcPr>
          <w:p>
            <w:pPr>
              <w:spacing w:after="0" w:line="142" w:lineRule="exact"/>
              <w:rPr>
                <w:rFonts w:ascii="Arial" w:cs="Arial" w:eastAsia="Arial" w:hAnsi="Arial"/>
                <w:sz w:val="14"/>
                <w:szCs w:val="14"/>
                <w:color w:val="0000FF"/>
              </w:rPr>
            </w:pPr>
            <w:hyperlink r:id="rId188">
              <w:r>
                <w:rPr>
                  <w:rFonts w:ascii="Arial" w:cs="Arial" w:eastAsia="Arial" w:hAnsi="Arial"/>
                  <w:sz w:val="14"/>
                  <w:szCs w:val="14"/>
                  <w:color w:val="0000FF"/>
                </w:rPr>
                <w:t>Registrant and Sutton Bank, dated April 1, 2016, as amended on December 31, 2017,</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5780" w:type="dxa"/>
            <w:vAlign w:val="bottom"/>
            <w:tcBorders>
              <w:top w:val="single" w:sz="8" w:color="0000FF"/>
            </w:tcBorders>
            <w:gridSpan w:val="28"/>
          </w:tcPr>
          <w:p>
            <w:pPr>
              <w:spacing w:after="0" w:line="142" w:lineRule="exact"/>
              <w:rPr>
                <w:rFonts w:ascii="Arial" w:cs="Arial" w:eastAsia="Arial" w:hAnsi="Arial"/>
                <w:sz w:val="14"/>
                <w:szCs w:val="14"/>
                <w:color w:val="0000FF"/>
              </w:rPr>
            </w:pPr>
            <w:hyperlink r:id="rId188">
              <w:r>
                <w:rPr>
                  <w:rFonts w:ascii="Arial" w:cs="Arial" w:eastAsia="Arial" w:hAnsi="Arial"/>
                  <w:sz w:val="14"/>
                  <w:szCs w:val="14"/>
                  <w:color w:val="0000FF"/>
                </w:rPr>
                <w:t>September 1, 2018, August 1, 2020, July 1, 2021, and January 23, 2023.</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10"/>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w w:val="99"/>
              </w:rPr>
              <w:t>10.32*†</w:t>
            </w:r>
          </w:p>
        </w:tc>
        <w:tc>
          <w:tcPr>
            <w:tcW w:w="5960" w:type="dxa"/>
            <w:vAlign w:val="bottom"/>
            <w:gridSpan w:val="37"/>
          </w:tcPr>
          <w:p>
            <w:pPr>
              <w:spacing w:after="0"/>
              <w:rPr>
                <w:sz w:val="20"/>
                <w:szCs w:val="20"/>
                <w:color w:val="auto"/>
              </w:rPr>
            </w:pPr>
            <w:r>
              <w:rPr>
                <w:rFonts w:ascii="Arial" w:cs="Arial" w:eastAsia="Arial" w:hAnsi="Arial"/>
                <w:sz w:val="14"/>
                <w:szCs w:val="14"/>
                <w:color w:val="0000FF"/>
              </w:rPr>
              <w:t>Tenth Amendment to the Amended and Restated Card Program Manager Agreement by</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42"/>
        </w:trPr>
        <w:tc>
          <w:tcPr>
            <w:tcW w:w="840" w:type="dxa"/>
            <w:vAlign w:val="bottom"/>
          </w:tcPr>
          <w:p>
            <w:pPr>
              <w:spacing w:after="0"/>
              <w:rPr>
                <w:sz w:val="12"/>
                <w:szCs w:val="12"/>
                <w:color w:val="auto"/>
              </w:rPr>
            </w:pPr>
          </w:p>
        </w:tc>
        <w:tc>
          <w:tcPr>
            <w:tcW w:w="5040" w:type="dxa"/>
            <w:vAlign w:val="bottom"/>
            <w:tcBorders>
              <w:top w:val="single" w:sz="8" w:color="0000FF"/>
              <w:bottom w:val="single" w:sz="8" w:color="0000FF"/>
            </w:tcBorders>
            <w:gridSpan w:val="22"/>
          </w:tcPr>
          <w:p>
            <w:pPr>
              <w:spacing w:after="0" w:line="142" w:lineRule="exact"/>
              <w:rPr>
                <w:sz w:val="20"/>
                <w:szCs w:val="20"/>
                <w:color w:val="auto"/>
              </w:rPr>
            </w:pPr>
            <w:r>
              <w:rPr>
                <w:rFonts w:ascii="Arial" w:cs="Arial" w:eastAsia="Arial" w:hAnsi="Arial"/>
                <w:sz w:val="14"/>
                <w:szCs w:val="14"/>
                <w:color w:val="0000FF"/>
              </w:rPr>
              <w:t>and between the Registrant and Sutton Bank, effective as of January 15, 2026.</w:t>
            </w:r>
          </w:p>
        </w:tc>
        <w:tc>
          <w:tcPr>
            <w:tcW w:w="9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w w:val="99"/>
              </w:rPr>
              <w:t>10.33*†</w:t>
            </w:r>
          </w:p>
        </w:tc>
        <w:tc>
          <w:tcPr>
            <w:tcW w:w="5960" w:type="dxa"/>
            <w:vAlign w:val="bottom"/>
            <w:gridSpan w:val="37"/>
          </w:tcPr>
          <w:p>
            <w:pPr>
              <w:spacing w:after="0"/>
              <w:rPr>
                <w:sz w:val="20"/>
                <w:szCs w:val="20"/>
                <w:color w:val="auto"/>
              </w:rPr>
            </w:pPr>
            <w:r>
              <w:rPr>
                <w:rFonts w:ascii="Arial" w:cs="Arial" w:eastAsia="Arial" w:hAnsi="Arial"/>
                <w:sz w:val="14"/>
                <w:szCs w:val="14"/>
                <w:color w:val="0000FF"/>
              </w:rPr>
              <w:t>Ninth Amendment to the Amended and Restated Card Program Manager Agreement by</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42"/>
        </w:trPr>
        <w:tc>
          <w:tcPr>
            <w:tcW w:w="840" w:type="dxa"/>
            <w:vAlign w:val="bottom"/>
          </w:tcPr>
          <w:p>
            <w:pPr>
              <w:spacing w:after="0"/>
              <w:rPr>
                <w:sz w:val="12"/>
                <w:szCs w:val="12"/>
                <w:color w:val="auto"/>
              </w:rPr>
            </w:pPr>
          </w:p>
        </w:tc>
        <w:tc>
          <w:tcPr>
            <w:tcW w:w="5880" w:type="dxa"/>
            <w:vAlign w:val="bottom"/>
            <w:tcBorders>
              <w:top w:val="single" w:sz="8" w:color="0000FF"/>
            </w:tcBorders>
            <w:gridSpan w:val="33"/>
          </w:tcPr>
          <w:p>
            <w:pPr>
              <w:spacing w:after="0" w:line="142" w:lineRule="exact"/>
              <w:rPr>
                <w:sz w:val="20"/>
                <w:szCs w:val="20"/>
                <w:color w:val="auto"/>
              </w:rPr>
            </w:pPr>
            <w:r>
              <w:rPr>
                <w:rFonts w:ascii="Arial" w:cs="Arial" w:eastAsia="Arial" w:hAnsi="Arial"/>
                <w:sz w:val="14"/>
                <w:szCs w:val="14"/>
                <w:color w:val="0000FF"/>
              </w:rPr>
              <w:t>and between the Registrant and Sutton Bank, effective as of January 15, 2026.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10"/>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10.34</w:t>
            </w:r>
          </w:p>
        </w:tc>
        <w:tc>
          <w:tcPr>
            <w:tcW w:w="5960" w:type="dxa"/>
            <w:vAlign w:val="bottom"/>
            <w:gridSpan w:val="37"/>
          </w:tcPr>
          <w:p>
            <w:pPr>
              <w:spacing w:after="0"/>
              <w:rPr>
                <w:rFonts w:ascii="Arial" w:cs="Arial" w:eastAsia="Arial" w:hAnsi="Arial"/>
                <w:sz w:val="14"/>
                <w:szCs w:val="14"/>
                <w:color w:val="0000FF"/>
              </w:rPr>
            </w:pPr>
            <w:hyperlink r:id="rId189">
              <w:r>
                <w:rPr>
                  <w:rFonts w:ascii="Arial" w:cs="Arial" w:eastAsia="Arial" w:hAnsi="Arial"/>
                  <w:sz w:val="14"/>
                  <w:szCs w:val="14"/>
                  <w:color w:val="0000FF"/>
                </w:rPr>
                <w:t>Eighth Amendment to the Amended and Restated Card Program Manager Agreement by</w:t>
              </w:r>
            </w:hyperlink>
          </w:p>
        </w:tc>
        <w:tc>
          <w:tcPr>
            <w:tcW w:w="60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10.25</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February 26, 2025</w:t>
            </w:r>
          </w:p>
        </w:tc>
      </w:tr>
      <w:tr>
        <w:trPr>
          <w:trHeight w:val="142"/>
        </w:trPr>
        <w:tc>
          <w:tcPr>
            <w:tcW w:w="84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20"/>
          </w:tcPr>
          <w:p>
            <w:pPr>
              <w:spacing w:after="0" w:line="142" w:lineRule="exact"/>
              <w:rPr>
                <w:rFonts w:ascii="Arial" w:cs="Arial" w:eastAsia="Arial" w:hAnsi="Arial"/>
                <w:sz w:val="14"/>
                <w:szCs w:val="14"/>
                <w:color w:val="0000FF"/>
              </w:rPr>
            </w:pPr>
            <w:hyperlink r:id="rId189">
              <w:r>
                <w:rPr>
                  <w:rFonts w:ascii="Arial" w:cs="Arial" w:eastAsia="Arial" w:hAnsi="Arial"/>
                  <w:sz w:val="14"/>
                  <w:szCs w:val="14"/>
                  <w:color w:val="0000FF"/>
                </w:rPr>
                <w:t>and between the Registrant and Sutton Bank, dated November 15, 2024.</w:t>
              </w:r>
            </w:hyperlink>
          </w:p>
        </w:tc>
        <w:tc>
          <w:tcPr>
            <w:tcW w:w="1020" w:type="dxa"/>
            <w:vAlign w:val="bottom"/>
            <w:tcBorders>
              <w:top w:val="single" w:sz="8" w:color="0000FF"/>
            </w:tcBorders>
            <w:gridSpan w:val="3"/>
          </w:tcPr>
          <w:p>
            <w:pPr>
              <w:spacing w:after="0"/>
              <w:rPr>
                <w:sz w:val="12"/>
                <w:szCs w:val="12"/>
                <w:color w:val="auto"/>
              </w:rPr>
            </w:pPr>
          </w:p>
        </w:tc>
        <w:tc>
          <w:tcPr>
            <w:tcW w:w="22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10.35</w:t>
            </w:r>
          </w:p>
        </w:tc>
        <w:tc>
          <w:tcPr>
            <w:tcW w:w="5960" w:type="dxa"/>
            <w:vAlign w:val="bottom"/>
            <w:gridSpan w:val="37"/>
          </w:tcPr>
          <w:p>
            <w:pPr>
              <w:spacing w:after="0"/>
              <w:rPr>
                <w:rFonts w:ascii="Arial" w:cs="Arial" w:eastAsia="Arial" w:hAnsi="Arial"/>
                <w:sz w:val="14"/>
                <w:szCs w:val="14"/>
                <w:color w:val="0000FF"/>
              </w:rPr>
            </w:pPr>
            <w:hyperlink r:id="rId190">
              <w:r>
                <w:rPr>
                  <w:rFonts w:ascii="Arial" w:cs="Arial" w:eastAsia="Arial" w:hAnsi="Arial"/>
                  <w:sz w:val="14"/>
                  <w:szCs w:val="14"/>
                  <w:color w:val="0000FF"/>
                </w:rPr>
                <w:t>Seventh Amendment to the Amended and Restated Card Program Manager Agreement</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10.1</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May 7, 2024</w:t>
            </w:r>
          </w:p>
        </w:tc>
      </w:tr>
      <w:tr>
        <w:trPr>
          <w:trHeight w:val="142"/>
        </w:trPr>
        <w:tc>
          <w:tcPr>
            <w:tcW w:w="840" w:type="dxa"/>
            <w:vAlign w:val="bottom"/>
          </w:tcPr>
          <w:p>
            <w:pPr>
              <w:spacing w:after="0"/>
              <w:rPr>
                <w:sz w:val="12"/>
                <w:szCs w:val="12"/>
                <w:color w:val="auto"/>
              </w:rPr>
            </w:pPr>
          </w:p>
        </w:tc>
        <w:tc>
          <w:tcPr>
            <w:tcW w:w="5920" w:type="dxa"/>
            <w:vAlign w:val="bottom"/>
            <w:tcBorders>
              <w:top w:val="single" w:sz="8" w:color="0000FF"/>
            </w:tcBorders>
            <w:gridSpan w:val="35"/>
          </w:tcPr>
          <w:p>
            <w:pPr>
              <w:spacing w:after="0" w:line="142" w:lineRule="exact"/>
              <w:rPr>
                <w:rFonts w:ascii="Arial" w:cs="Arial" w:eastAsia="Arial" w:hAnsi="Arial"/>
                <w:sz w:val="14"/>
                <w:szCs w:val="14"/>
                <w:color w:val="0000FF"/>
              </w:rPr>
            </w:pPr>
            <w:hyperlink r:id="rId190">
              <w:r>
                <w:rPr>
                  <w:rFonts w:ascii="Arial" w:cs="Arial" w:eastAsia="Arial" w:hAnsi="Arial"/>
                  <w:sz w:val="14"/>
                  <w:szCs w:val="14"/>
                  <w:color w:val="0000FF"/>
                </w:rPr>
                <w:t>by and between the Registrant and Sutton Bank, dated April 4, 2024.</w:t>
              </w:r>
            </w:hyperlink>
          </w:p>
        </w:tc>
        <w:tc>
          <w:tcPr>
            <w:tcW w:w="4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10"/>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8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10.36†</w:t>
            </w:r>
          </w:p>
        </w:tc>
        <w:tc>
          <w:tcPr>
            <w:tcW w:w="5960" w:type="dxa"/>
            <w:vAlign w:val="bottom"/>
            <w:gridSpan w:val="37"/>
          </w:tcPr>
          <w:p>
            <w:pPr>
              <w:spacing w:after="0"/>
              <w:rPr>
                <w:rFonts w:ascii="Arial" w:cs="Arial" w:eastAsia="Arial" w:hAnsi="Arial"/>
                <w:sz w:val="14"/>
                <w:szCs w:val="14"/>
                <w:color w:val="0000FF"/>
              </w:rPr>
            </w:pPr>
            <w:hyperlink r:id="rId191">
              <w:r>
                <w:rPr>
                  <w:rFonts w:ascii="Arial" w:cs="Arial" w:eastAsia="Arial" w:hAnsi="Arial"/>
                  <w:sz w:val="14"/>
                  <w:szCs w:val="14"/>
                  <w:color w:val="0000FF"/>
                </w:rPr>
                <w:t>Addendum to the Amended and Restated Card Program Manager Agreement by and</w:t>
              </w:r>
            </w:hyperlink>
          </w:p>
        </w:tc>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10.2</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May 7, 2024</w:t>
            </w:r>
          </w:p>
        </w:tc>
      </w:tr>
      <w:tr>
        <w:trPr>
          <w:trHeight w:val="142"/>
        </w:trPr>
        <w:tc>
          <w:tcPr>
            <w:tcW w:w="840" w:type="dxa"/>
            <w:vAlign w:val="bottom"/>
          </w:tcPr>
          <w:p>
            <w:pPr>
              <w:spacing w:after="0"/>
              <w:rPr>
                <w:sz w:val="12"/>
                <w:szCs w:val="12"/>
                <w:color w:val="auto"/>
              </w:rPr>
            </w:pPr>
          </w:p>
        </w:tc>
        <w:tc>
          <w:tcPr>
            <w:tcW w:w="5900" w:type="dxa"/>
            <w:vAlign w:val="bottom"/>
            <w:tcBorders>
              <w:top w:val="single" w:sz="8" w:color="0000FF"/>
            </w:tcBorders>
            <w:gridSpan w:val="34"/>
          </w:tcPr>
          <w:p>
            <w:pPr>
              <w:spacing w:after="0" w:line="142" w:lineRule="exact"/>
              <w:rPr>
                <w:rFonts w:ascii="Arial" w:cs="Arial" w:eastAsia="Arial" w:hAnsi="Arial"/>
                <w:sz w:val="14"/>
                <w:szCs w:val="14"/>
                <w:color w:val="0000FF"/>
              </w:rPr>
            </w:pPr>
            <w:hyperlink r:id="rId191">
              <w:r>
                <w:rPr>
                  <w:rFonts w:ascii="Arial" w:cs="Arial" w:eastAsia="Arial" w:hAnsi="Arial"/>
                  <w:sz w:val="14"/>
                  <w:szCs w:val="14"/>
                  <w:color w:val="0000FF"/>
                </w:rPr>
                <w:t>between the Registrant and Sutton Bank, dated January 19, 2024.</w:t>
              </w:r>
            </w:hyperlink>
          </w:p>
        </w:tc>
        <w:tc>
          <w:tcPr>
            <w:tcW w:w="60" w:type="dxa"/>
            <w:vAlign w:val="bottom"/>
            <w:gridSpan w:val="3"/>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16.1</w:t>
            </w:r>
          </w:p>
        </w:tc>
        <w:tc>
          <w:tcPr>
            <w:tcW w:w="3380" w:type="dxa"/>
            <w:vAlign w:val="bottom"/>
            <w:tcBorders>
              <w:top w:val="single" w:sz="8" w:color="0000FF"/>
              <w:bottom w:val="single" w:sz="8" w:color="0000FF"/>
            </w:tcBorders>
            <w:gridSpan w:val="14"/>
          </w:tcPr>
          <w:p>
            <w:pPr>
              <w:spacing w:after="0"/>
              <w:rPr>
                <w:rFonts w:ascii="Arial" w:cs="Arial" w:eastAsia="Arial" w:hAnsi="Arial"/>
                <w:sz w:val="14"/>
                <w:szCs w:val="14"/>
                <w:color w:val="0000FF"/>
              </w:rPr>
            </w:pPr>
            <w:hyperlink r:id="rId192">
              <w:r>
                <w:rPr>
                  <w:rFonts w:ascii="Arial" w:cs="Arial" w:eastAsia="Arial" w:hAnsi="Arial"/>
                  <w:sz w:val="14"/>
                  <w:szCs w:val="14"/>
                  <w:color w:val="0000FF"/>
                </w:rPr>
                <w:t>Letter from Ernst &amp; Young LLP dated March 7, 2024.</w:t>
              </w:r>
            </w:hyperlink>
          </w:p>
        </w:tc>
        <w:tc>
          <w:tcPr>
            <w:tcW w:w="840" w:type="dxa"/>
            <w:vAlign w:val="bottom"/>
            <w:tcBorders>
              <w:top w:val="single" w:sz="8" w:color="0000FF"/>
            </w:tcBorders>
          </w:tcPr>
          <w:p>
            <w:pPr>
              <w:spacing w:after="0"/>
              <w:rPr>
                <w:sz w:val="17"/>
                <w:szCs w:val="17"/>
                <w:color w:val="auto"/>
              </w:rPr>
            </w:pPr>
          </w:p>
        </w:tc>
        <w:tc>
          <w:tcPr>
            <w:tcW w:w="1740" w:type="dxa"/>
            <w:vAlign w:val="bottom"/>
            <w:gridSpan w:val="22"/>
          </w:tcPr>
          <w:p>
            <w:pPr>
              <w:spacing w:after="0"/>
              <w:rPr>
                <w:sz w:val="17"/>
                <w:szCs w:val="17"/>
                <w:color w:val="auto"/>
              </w:rPr>
            </w:pPr>
          </w:p>
        </w:tc>
        <w:tc>
          <w:tcPr>
            <w:tcW w:w="600" w:type="dxa"/>
            <w:vAlign w:val="bottom"/>
          </w:tcPr>
          <w:p>
            <w:pPr>
              <w:jc w:val="center"/>
              <w:ind w:right="188"/>
              <w:spacing w:after="0"/>
              <w:rPr>
                <w:sz w:val="20"/>
                <w:szCs w:val="20"/>
                <w:color w:val="auto"/>
              </w:rPr>
            </w:pPr>
            <w:r>
              <w:rPr>
                <w:rFonts w:ascii="Arial" w:cs="Arial" w:eastAsia="Arial" w:hAnsi="Arial"/>
                <w:sz w:val="14"/>
                <w:szCs w:val="14"/>
                <w:color w:val="auto"/>
              </w:rPr>
              <w:t>8-K</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16.1</w:t>
            </w:r>
          </w:p>
        </w:tc>
        <w:tc>
          <w:tcPr>
            <w:tcW w:w="1380" w:type="dxa"/>
            <w:vAlign w:val="bottom"/>
          </w:tcPr>
          <w:p>
            <w:pPr>
              <w:jc w:val="center"/>
              <w:ind w:left="148"/>
              <w:spacing w:after="0"/>
              <w:rPr>
                <w:sz w:val="20"/>
                <w:szCs w:val="20"/>
                <w:color w:val="auto"/>
              </w:rPr>
            </w:pPr>
            <w:r>
              <w:rPr>
                <w:rFonts w:ascii="Arial" w:cs="Arial" w:eastAsia="Arial" w:hAnsi="Arial"/>
                <w:sz w:val="14"/>
                <w:szCs w:val="14"/>
                <w:color w:val="auto"/>
              </w:rPr>
              <w:t>March 1, 2024</w:t>
            </w: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rPr>
              <w:t>19.1</w:t>
            </w:r>
          </w:p>
        </w:tc>
        <w:tc>
          <w:tcPr>
            <w:tcW w:w="1420" w:type="dxa"/>
            <w:vAlign w:val="bottom"/>
            <w:tcBorders>
              <w:bottom w:val="single" w:sz="8" w:color="0000FF"/>
            </w:tcBorders>
            <w:gridSpan w:val="3"/>
          </w:tcPr>
          <w:p>
            <w:pPr>
              <w:spacing w:after="0"/>
              <w:rPr>
                <w:rFonts w:ascii="Arial" w:cs="Arial" w:eastAsia="Arial" w:hAnsi="Arial"/>
                <w:sz w:val="14"/>
                <w:szCs w:val="14"/>
                <w:color w:val="0000FF"/>
              </w:rPr>
            </w:pPr>
            <w:hyperlink r:id="rId193">
              <w:r>
                <w:rPr>
                  <w:rFonts w:ascii="Arial" w:cs="Arial" w:eastAsia="Arial" w:hAnsi="Arial"/>
                  <w:sz w:val="14"/>
                  <w:szCs w:val="14"/>
                  <w:color w:val="0000FF"/>
                </w:rPr>
                <w:t>Insider Trading Policy.</w:t>
              </w:r>
            </w:hyperlink>
          </w:p>
        </w:tc>
        <w:tc>
          <w:tcPr>
            <w:tcW w:w="4540" w:type="dxa"/>
            <w:vAlign w:val="bottom"/>
            <w:gridSpan w:val="34"/>
          </w:tcPr>
          <w:p>
            <w:pPr>
              <w:spacing w:after="0"/>
              <w:rPr>
                <w:sz w:val="17"/>
                <w:szCs w:val="17"/>
                <w:color w:val="auto"/>
              </w:rPr>
            </w:pPr>
          </w:p>
        </w:tc>
        <w:tc>
          <w:tcPr>
            <w:tcW w:w="60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001-40465</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19.1</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February 26, 2025</w:t>
            </w: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w w:val="97"/>
              </w:rPr>
              <w:t>21.1*</w:t>
            </w:r>
          </w:p>
        </w:tc>
        <w:tc>
          <w:tcPr>
            <w:tcW w:w="5960" w:type="dxa"/>
            <w:vAlign w:val="bottom"/>
            <w:gridSpan w:val="37"/>
          </w:tcPr>
          <w:p>
            <w:pPr>
              <w:spacing w:after="0"/>
              <w:rPr>
                <w:sz w:val="20"/>
                <w:szCs w:val="20"/>
                <w:color w:val="auto"/>
              </w:rPr>
            </w:pPr>
            <w:r>
              <w:rPr>
                <w:rFonts w:ascii="Arial" w:cs="Arial" w:eastAsia="Arial" w:hAnsi="Arial"/>
                <w:sz w:val="14"/>
                <w:szCs w:val="14"/>
                <w:color w:val="0000FF"/>
              </w:rPr>
              <w:t>Subsidiaries of the Registrant.</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540" w:type="dxa"/>
            <w:vAlign w:val="bottom"/>
            <w:gridSpan w:val="1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w w:val="97"/>
              </w:rPr>
              <w:t>23.1*</w:t>
            </w:r>
          </w:p>
        </w:tc>
        <w:tc>
          <w:tcPr>
            <w:tcW w:w="5960" w:type="dxa"/>
            <w:vAlign w:val="bottom"/>
            <w:gridSpan w:val="37"/>
          </w:tcPr>
          <w:p>
            <w:pPr>
              <w:spacing w:after="0"/>
              <w:rPr>
                <w:sz w:val="20"/>
                <w:szCs w:val="20"/>
                <w:color w:val="auto"/>
              </w:rPr>
            </w:pPr>
            <w:r>
              <w:rPr>
                <w:rFonts w:ascii="Arial" w:cs="Arial" w:eastAsia="Arial" w:hAnsi="Arial"/>
                <w:sz w:val="14"/>
                <w:szCs w:val="14"/>
                <w:color w:val="0000FF"/>
              </w:rPr>
              <w:t>Consent of KPMG LLP, independent registered public accounting firm.</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460" w:type="dxa"/>
            <w:vAlign w:val="bottom"/>
            <w:gridSpan w:val="17"/>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jc w:val="center"/>
              <w:ind w:right="288"/>
              <w:spacing w:after="0"/>
              <w:rPr>
                <w:sz w:val="20"/>
                <w:szCs w:val="20"/>
                <w:color w:val="auto"/>
              </w:rPr>
            </w:pPr>
            <w:r>
              <w:rPr>
                <w:rFonts w:ascii="Arial" w:cs="Arial" w:eastAsia="Arial" w:hAnsi="Arial"/>
                <w:sz w:val="14"/>
                <w:szCs w:val="14"/>
                <w:color w:val="auto"/>
                <w:w w:val="97"/>
              </w:rPr>
              <w:t>23.2*</w:t>
            </w:r>
          </w:p>
        </w:tc>
        <w:tc>
          <w:tcPr>
            <w:tcW w:w="5020" w:type="dxa"/>
            <w:vAlign w:val="bottom"/>
            <w:tcBorders>
              <w:bottom w:val="single" w:sz="8" w:color="0000FF"/>
            </w:tcBorders>
            <w:gridSpan w:val="21"/>
          </w:tcPr>
          <w:p>
            <w:pPr>
              <w:spacing w:after="0"/>
              <w:rPr>
                <w:sz w:val="20"/>
                <w:szCs w:val="20"/>
                <w:color w:val="auto"/>
              </w:rPr>
            </w:pPr>
            <w:r>
              <w:rPr>
                <w:rFonts w:ascii="Arial" w:cs="Arial" w:eastAsia="Arial" w:hAnsi="Arial"/>
                <w:sz w:val="14"/>
                <w:szCs w:val="14"/>
                <w:color w:val="0000FF"/>
              </w:rPr>
              <w:t>Consent of Ernst &amp; Young LLP, independent registered public accounting firm.</w:t>
            </w:r>
          </w:p>
        </w:tc>
        <w:tc>
          <w:tcPr>
            <w:tcW w:w="94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24.1*</w:t>
            </w:r>
          </w:p>
        </w:tc>
        <w:tc>
          <w:tcPr>
            <w:tcW w:w="5820" w:type="dxa"/>
            <w:vAlign w:val="bottom"/>
            <w:gridSpan w:val="12"/>
          </w:tcPr>
          <w:p>
            <w:pPr>
              <w:spacing w:after="0"/>
              <w:rPr>
                <w:sz w:val="20"/>
                <w:szCs w:val="20"/>
                <w:color w:val="auto"/>
              </w:rPr>
            </w:pPr>
            <w:r>
              <w:rPr>
                <w:rFonts w:ascii="Arial" w:cs="Arial" w:eastAsia="Arial" w:hAnsi="Arial"/>
                <w:sz w:val="14"/>
                <w:szCs w:val="14"/>
                <w:color w:val="0000FF"/>
              </w:rPr>
              <w:t>Power of Attorney (incorporated by reference to the signature page to this Annual Report</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76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4"/>
                <w:szCs w:val="14"/>
                <w:color w:val="0000FF"/>
              </w:rPr>
              <w:t>on Form 10-K)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31.1*</w:t>
            </w:r>
          </w:p>
        </w:tc>
        <w:tc>
          <w:tcPr>
            <w:tcW w:w="5820" w:type="dxa"/>
            <w:vAlign w:val="bottom"/>
            <w:gridSpan w:val="12"/>
          </w:tcPr>
          <w:p>
            <w:pPr>
              <w:spacing w:after="0"/>
              <w:rPr>
                <w:sz w:val="20"/>
                <w:szCs w:val="20"/>
                <w:color w:val="auto"/>
              </w:rPr>
            </w:pPr>
            <w:r>
              <w:rPr>
                <w:rFonts w:ascii="Arial" w:cs="Arial" w:eastAsia="Arial" w:hAnsi="Arial"/>
                <w:sz w:val="14"/>
                <w:szCs w:val="14"/>
                <w:color w:val="0000FF"/>
              </w:rPr>
              <w:t>Certification of the Principal Executive Officer, pursuant to Rules 13a-14(a) and 15d-14(a)</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72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under the Exchange Act, as adopted pursuant to Section 302 of the Sarbanes-Oxley Act</w:t>
            </w: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520" w:type="dxa"/>
            <w:vAlign w:val="bottom"/>
            <w:tcBorders>
              <w:bottom w:val="single" w:sz="8" w:color="0000FF"/>
            </w:tcBorders>
          </w:tcPr>
          <w:p>
            <w:pPr>
              <w:spacing w:after="0" w:line="115" w:lineRule="exact"/>
              <w:rPr>
                <w:sz w:val="20"/>
                <w:szCs w:val="20"/>
                <w:color w:val="auto"/>
              </w:rPr>
            </w:pPr>
            <w:r>
              <w:rPr>
                <w:rFonts w:ascii="Arial" w:cs="Arial" w:eastAsia="Arial" w:hAnsi="Arial"/>
                <w:sz w:val="13"/>
                <w:szCs w:val="13"/>
                <w:color w:val="0000FF"/>
              </w:rPr>
              <w:t>of 2002.</w:t>
            </w:r>
          </w:p>
        </w:tc>
        <w:tc>
          <w:tcPr>
            <w:tcW w:w="5260" w:type="dxa"/>
            <w:vAlign w:val="bottom"/>
            <w:gridSpan w:val="10"/>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31.2*</w:t>
            </w:r>
          </w:p>
        </w:tc>
        <w:tc>
          <w:tcPr>
            <w:tcW w:w="5820" w:type="dxa"/>
            <w:vAlign w:val="bottom"/>
            <w:gridSpan w:val="12"/>
          </w:tcPr>
          <w:p>
            <w:pPr>
              <w:spacing w:after="0"/>
              <w:rPr>
                <w:sz w:val="20"/>
                <w:szCs w:val="20"/>
                <w:color w:val="auto"/>
              </w:rPr>
            </w:pPr>
            <w:r>
              <w:rPr>
                <w:rFonts w:ascii="Arial" w:cs="Arial" w:eastAsia="Arial" w:hAnsi="Arial"/>
                <w:sz w:val="14"/>
                <w:szCs w:val="14"/>
                <w:color w:val="0000FF"/>
              </w:rPr>
              <w:t>Certification of the Principal Financial Officer, pursuant to Rules 13a-14(a) and 15d-14(a)</w:t>
            </w: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5680" w:type="dxa"/>
            <w:vAlign w:val="bottom"/>
            <w:tcBorders>
              <w:top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under the Exchange Act, as adopted pursuant to Section 302 of the Sarbanes-Oxley Act</w:t>
            </w: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5" w:lineRule="exact"/>
              <w:rPr>
                <w:sz w:val="20"/>
                <w:szCs w:val="20"/>
                <w:color w:val="auto"/>
              </w:rPr>
            </w:pPr>
            <w:r>
              <w:rPr>
                <w:rFonts w:ascii="Arial" w:cs="Arial" w:eastAsia="Arial" w:hAnsi="Arial"/>
                <w:sz w:val="13"/>
                <w:szCs w:val="13"/>
                <w:color w:val="0000FF"/>
              </w:rPr>
              <w:t>of 2002.</w:t>
            </w:r>
          </w:p>
        </w:tc>
        <w:tc>
          <w:tcPr>
            <w:tcW w:w="5260" w:type="dxa"/>
            <w:vAlign w:val="bottom"/>
            <w:tcBorders>
              <w:top w:val="single" w:sz="8" w:color="0000FF"/>
            </w:tcBorders>
            <w:gridSpan w:val="10"/>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32.1**</w:t>
            </w:r>
          </w:p>
        </w:tc>
        <w:tc>
          <w:tcPr>
            <w:tcW w:w="5820" w:type="dxa"/>
            <w:vAlign w:val="bottom"/>
            <w:gridSpan w:val="12"/>
          </w:tcPr>
          <w:p>
            <w:pPr>
              <w:spacing w:after="0"/>
              <w:rPr>
                <w:sz w:val="20"/>
                <w:szCs w:val="20"/>
                <w:color w:val="auto"/>
              </w:rPr>
            </w:pPr>
            <w:r>
              <w:rPr>
                <w:rFonts w:ascii="Arial" w:cs="Arial" w:eastAsia="Arial" w:hAnsi="Arial"/>
                <w:sz w:val="14"/>
                <w:szCs w:val="14"/>
                <w:color w:val="0000FF"/>
              </w:rPr>
              <w:t>Certification of the Principal Executive Officer, pursuant to 18 U.S.C. Section 1350, as</w:t>
            </w: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540" w:type="dxa"/>
            <w:vAlign w:val="bottom"/>
            <w:tcBorders>
              <w:top w:val="single" w:sz="8" w:color="0000FF"/>
              <w:bottom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adopted pursuant to Section 906 of the</w:t>
            </w:r>
          </w:p>
        </w:tc>
        <w:tc>
          <w:tcPr>
            <w:tcW w:w="182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rPr>
              <w:t>Sarbanes-Oxley Act of 2002.</w:t>
            </w:r>
          </w:p>
        </w:tc>
        <w:tc>
          <w:tcPr>
            <w:tcW w:w="1380" w:type="dxa"/>
            <w:vAlign w:val="bottom"/>
            <w:tcBorders>
              <w:top w:val="single" w:sz="8" w:color="0000FF"/>
            </w:tcBorders>
            <w:gridSpan w:val="4"/>
          </w:tcPr>
          <w:p>
            <w:pPr>
              <w:spacing w:after="0"/>
              <w:rPr>
                <w:sz w:val="11"/>
                <w:szCs w:val="11"/>
                <w:color w:val="auto"/>
              </w:rPr>
            </w:pPr>
          </w:p>
        </w:tc>
        <w:tc>
          <w:tcPr>
            <w:tcW w:w="8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32.2**</w:t>
            </w:r>
          </w:p>
        </w:tc>
        <w:tc>
          <w:tcPr>
            <w:tcW w:w="5820" w:type="dxa"/>
            <w:vAlign w:val="bottom"/>
            <w:gridSpan w:val="12"/>
          </w:tcPr>
          <w:p>
            <w:pPr>
              <w:spacing w:after="0"/>
              <w:rPr>
                <w:sz w:val="20"/>
                <w:szCs w:val="20"/>
                <w:color w:val="auto"/>
              </w:rPr>
            </w:pPr>
            <w:r>
              <w:rPr>
                <w:rFonts w:ascii="Arial" w:cs="Arial" w:eastAsia="Arial" w:hAnsi="Arial"/>
                <w:sz w:val="14"/>
                <w:szCs w:val="14"/>
                <w:color w:val="0000FF"/>
              </w:rPr>
              <w:t>Certification of the Principal Financial Officer, pursuant to 18 U.S.C. Section 1350, as</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4360" w:type="dxa"/>
            <w:vAlign w:val="bottom"/>
            <w:tcBorders>
              <w:top w:val="single" w:sz="8" w:color="0000FF"/>
              <w:bottom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adopted pursuant to Section 906 of the Sarbanes-Oxley Act of 2002.</w:t>
            </w:r>
          </w:p>
        </w:tc>
        <w:tc>
          <w:tcPr>
            <w:tcW w:w="1340" w:type="dxa"/>
            <w:vAlign w:val="bottom"/>
            <w:tcBorders>
              <w:top w:val="single" w:sz="8" w:color="0000FF"/>
            </w:tcBorders>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ind w:right="248"/>
              <w:spacing w:after="0"/>
              <w:rPr>
                <w:sz w:val="20"/>
                <w:szCs w:val="20"/>
                <w:color w:val="auto"/>
              </w:rPr>
            </w:pPr>
            <w:r>
              <w:rPr>
                <w:rFonts w:ascii="Arial" w:cs="Arial" w:eastAsia="Arial" w:hAnsi="Arial"/>
                <w:sz w:val="14"/>
                <w:szCs w:val="14"/>
                <w:color w:val="auto"/>
              </w:rPr>
              <w:t>97.1</w:t>
            </w:r>
          </w:p>
        </w:tc>
        <w:tc>
          <w:tcPr>
            <w:tcW w:w="5820" w:type="dxa"/>
            <w:vAlign w:val="bottom"/>
            <w:gridSpan w:val="12"/>
          </w:tcPr>
          <w:p>
            <w:pPr>
              <w:spacing w:after="0"/>
              <w:rPr>
                <w:rFonts w:ascii="Arial" w:cs="Arial" w:eastAsia="Arial" w:hAnsi="Arial"/>
                <w:sz w:val="14"/>
                <w:szCs w:val="14"/>
                <w:color w:val="0000FF"/>
              </w:rPr>
            </w:pPr>
            <w:hyperlink r:id="rId195">
              <w:r>
                <w:rPr>
                  <w:rFonts w:ascii="Arial" w:cs="Arial" w:eastAsia="Arial" w:hAnsi="Arial"/>
                  <w:sz w:val="14"/>
                  <w:szCs w:val="14"/>
                  <w:color w:val="0000FF"/>
                </w:rPr>
                <w:t>Compensation Recovery Policy.</w:t>
              </w:r>
            </w:hyperlink>
          </w:p>
        </w:tc>
        <w:tc>
          <w:tcPr>
            <w:tcW w:w="720" w:type="dxa"/>
            <w:vAlign w:val="bottom"/>
          </w:tcPr>
          <w:p>
            <w:pPr>
              <w:ind w:left="140"/>
              <w:spacing w:after="0"/>
              <w:rPr>
                <w:sz w:val="20"/>
                <w:szCs w:val="20"/>
                <w:color w:val="auto"/>
              </w:rPr>
            </w:pPr>
            <w:r>
              <w:rPr>
                <w:rFonts w:ascii="Arial" w:cs="Arial" w:eastAsia="Arial" w:hAnsi="Arial"/>
                <w:sz w:val="14"/>
                <w:szCs w:val="14"/>
                <w:color w:val="auto"/>
              </w:rPr>
              <w:t>10-K</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001-40465</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97.1</w:t>
            </w:r>
          </w:p>
        </w:tc>
        <w:tc>
          <w:tcPr>
            <w:tcW w:w="1400" w:type="dxa"/>
            <w:vAlign w:val="bottom"/>
          </w:tcPr>
          <w:p>
            <w:pPr>
              <w:ind w:left="240"/>
              <w:spacing w:after="0"/>
              <w:rPr>
                <w:sz w:val="20"/>
                <w:szCs w:val="20"/>
                <w:color w:val="auto"/>
              </w:rPr>
            </w:pPr>
            <w:r>
              <w:rPr>
                <w:rFonts w:ascii="Arial" w:cs="Arial" w:eastAsia="Arial" w:hAnsi="Arial"/>
                <w:sz w:val="14"/>
                <w:szCs w:val="14"/>
                <w:color w:val="auto"/>
                <w:w w:val="99"/>
              </w:rPr>
              <w:t>February 28, 2024</w:t>
            </w: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248"/>
              <w:spacing w:after="0"/>
              <w:rPr>
                <w:sz w:val="20"/>
                <w:szCs w:val="20"/>
                <w:color w:val="auto"/>
              </w:rPr>
            </w:pPr>
            <w:r>
              <w:rPr>
                <w:rFonts w:ascii="Arial" w:cs="Arial" w:eastAsia="Arial" w:hAnsi="Arial"/>
                <w:sz w:val="14"/>
                <w:szCs w:val="14"/>
                <w:color w:val="auto"/>
              </w:rPr>
              <w:t>101.INS</w:t>
            </w:r>
            <w:r>
              <w:rPr>
                <w:rFonts w:ascii="Arial" w:cs="Arial" w:eastAsia="Arial" w:hAnsi="Arial"/>
                <w:sz w:val="18"/>
                <w:szCs w:val="18"/>
                <w:color w:val="auto"/>
                <w:vertAlign w:val="superscript"/>
              </w:rPr>
              <w:t>*</w:t>
            </w:r>
          </w:p>
        </w:tc>
        <w:tc>
          <w:tcPr>
            <w:tcW w:w="2020" w:type="dxa"/>
            <w:vAlign w:val="bottom"/>
            <w:gridSpan w:val="3"/>
            <w:shd w:val="clear" w:color="auto" w:fill="0000FF"/>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20" w:type="dxa"/>
            <w:vAlign w:val="bottom"/>
            <w:vMerge w:val="continue"/>
          </w:tcPr>
          <w:p>
            <w:pPr>
              <w:spacing w:after="0"/>
              <w:rPr>
                <w:sz w:val="19"/>
                <w:szCs w:val="19"/>
                <w:color w:val="auto"/>
              </w:rPr>
            </w:pPr>
          </w:p>
        </w:tc>
        <w:tc>
          <w:tcPr>
            <w:tcW w:w="5820" w:type="dxa"/>
            <w:vAlign w:val="bottom"/>
            <w:gridSpan w:val="12"/>
          </w:tcPr>
          <w:p>
            <w:pPr>
              <w:spacing w:after="0"/>
              <w:rPr>
                <w:sz w:val="20"/>
                <w:szCs w:val="20"/>
                <w:color w:val="auto"/>
              </w:rPr>
            </w:pPr>
            <w:r>
              <w:rPr>
                <w:rFonts w:ascii="Arial" w:cs="Arial" w:eastAsia="Arial" w:hAnsi="Arial"/>
                <w:sz w:val="14"/>
                <w:szCs w:val="14"/>
                <w:color w:val="auto"/>
              </w:rPr>
              <w:t>Inline XBRL Instance Document.</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tcPr>
          <w:p>
            <w:pPr>
              <w:jc w:val="center"/>
              <w:ind w:right="228"/>
              <w:spacing w:after="0" w:line="202" w:lineRule="exact"/>
              <w:rPr>
                <w:sz w:val="20"/>
                <w:szCs w:val="20"/>
                <w:color w:val="auto"/>
              </w:rPr>
            </w:pPr>
            <w:r>
              <w:rPr>
                <w:rFonts w:ascii="Arial" w:cs="Arial" w:eastAsia="Arial" w:hAnsi="Arial"/>
                <w:sz w:val="14"/>
                <w:szCs w:val="14"/>
                <w:color w:val="auto"/>
              </w:rPr>
              <w:t>101.SCH</w:t>
            </w:r>
            <w:r>
              <w:rPr>
                <w:rFonts w:ascii="Arial" w:cs="Arial" w:eastAsia="Arial" w:hAnsi="Arial"/>
                <w:sz w:val="18"/>
                <w:szCs w:val="18"/>
                <w:color w:val="auto"/>
                <w:vertAlign w:val="superscript"/>
              </w:rPr>
              <w:t>*</w:t>
            </w:r>
          </w:p>
        </w:tc>
        <w:tc>
          <w:tcPr>
            <w:tcW w:w="582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jc w:val="center"/>
              <w:ind w:right="248"/>
              <w:spacing w:after="0" w:line="202"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582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center"/>
              <w:ind w:right="248"/>
              <w:spacing w:after="0"/>
              <w:rPr>
                <w:sz w:val="20"/>
                <w:szCs w:val="20"/>
                <w:color w:val="auto"/>
              </w:rPr>
            </w:pPr>
            <w:r>
              <w:rPr>
                <w:rFonts w:ascii="Arial" w:cs="Arial" w:eastAsia="Arial" w:hAnsi="Arial"/>
                <w:sz w:val="14"/>
                <w:szCs w:val="14"/>
                <w:color w:val="auto"/>
              </w:rPr>
              <w:t>101.DEF</w:t>
            </w:r>
            <w:r>
              <w:rPr>
                <w:rFonts w:ascii="Arial" w:cs="Arial" w:eastAsia="Arial" w:hAnsi="Arial"/>
                <w:sz w:val="18"/>
                <w:szCs w:val="18"/>
                <w:color w:val="auto"/>
                <w:vertAlign w:val="superscript"/>
              </w:rPr>
              <w:t>*</w:t>
            </w:r>
          </w:p>
        </w:tc>
        <w:tc>
          <w:tcPr>
            <w:tcW w:w="582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center"/>
              <w:ind w:right="228"/>
              <w:spacing w:after="0"/>
              <w:rPr>
                <w:sz w:val="20"/>
                <w:szCs w:val="20"/>
                <w:color w:val="auto"/>
              </w:rPr>
            </w:pPr>
            <w:r>
              <w:rPr>
                <w:rFonts w:ascii="Arial" w:cs="Arial" w:eastAsia="Arial" w:hAnsi="Arial"/>
                <w:sz w:val="14"/>
                <w:szCs w:val="14"/>
                <w:color w:val="auto"/>
                <w:w w:val="99"/>
              </w:rPr>
              <w:t>101.LAB</w:t>
            </w:r>
            <w:r>
              <w:rPr>
                <w:rFonts w:ascii="Arial" w:cs="Arial" w:eastAsia="Arial" w:hAnsi="Arial"/>
                <w:sz w:val="18"/>
                <w:szCs w:val="18"/>
                <w:color w:val="auto"/>
                <w:w w:val="99"/>
                <w:vertAlign w:val="superscript"/>
              </w:rPr>
              <w:t>*</w:t>
            </w:r>
          </w:p>
        </w:tc>
        <w:tc>
          <w:tcPr>
            <w:tcW w:w="582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Labels Linkbase Document.</w:t>
            </w: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center"/>
              <w:ind w:right="228"/>
              <w:spacing w:after="0"/>
              <w:rPr>
                <w:sz w:val="20"/>
                <w:szCs w:val="20"/>
                <w:color w:val="auto"/>
              </w:rPr>
            </w:pPr>
            <w:r>
              <w:rPr>
                <w:rFonts w:ascii="Arial" w:cs="Arial" w:eastAsia="Arial" w:hAnsi="Arial"/>
                <w:sz w:val="14"/>
                <w:szCs w:val="14"/>
                <w:color w:val="auto"/>
              </w:rPr>
              <w:t>101.PRE</w:t>
            </w:r>
            <w:r>
              <w:rPr>
                <w:rFonts w:ascii="Arial" w:cs="Arial" w:eastAsia="Arial" w:hAnsi="Arial"/>
                <w:sz w:val="18"/>
                <w:szCs w:val="18"/>
                <w:color w:val="auto"/>
                <w:vertAlign w:val="superscript"/>
              </w:rPr>
              <w:t>*</w:t>
            </w:r>
          </w:p>
        </w:tc>
        <w:tc>
          <w:tcPr>
            <w:tcW w:w="5820" w:type="dxa"/>
            <w:vAlign w:val="bottom"/>
            <w:gridSpan w:val="12"/>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920" w:type="dxa"/>
            <w:vAlign w:val="bottom"/>
          </w:tcPr>
          <w:p>
            <w:pPr>
              <w:jc w:val="center"/>
              <w:ind w:right="248"/>
              <w:spacing w:after="0" w:line="151" w:lineRule="exact"/>
              <w:rPr>
                <w:sz w:val="20"/>
                <w:szCs w:val="20"/>
                <w:color w:val="auto"/>
              </w:rPr>
            </w:pPr>
            <w:r>
              <w:rPr>
                <w:rFonts w:ascii="Arial" w:cs="Arial" w:eastAsia="Arial" w:hAnsi="Arial"/>
                <w:sz w:val="14"/>
                <w:szCs w:val="14"/>
                <w:color w:val="auto"/>
              </w:rPr>
              <w:t>104</w:t>
            </w:r>
            <w:r>
              <w:rPr>
                <w:rFonts w:ascii="Arial" w:cs="Arial" w:eastAsia="Arial" w:hAnsi="Arial"/>
                <w:sz w:val="17"/>
                <w:szCs w:val="17"/>
                <w:color w:val="auto"/>
                <w:vertAlign w:val="superscript"/>
              </w:rPr>
              <w:t>*</w:t>
            </w:r>
          </w:p>
        </w:tc>
        <w:tc>
          <w:tcPr>
            <w:tcW w:w="5820" w:type="dxa"/>
            <w:vAlign w:val="bottom"/>
            <w:gridSpan w:val="12"/>
          </w:tcPr>
          <w:p>
            <w:pPr>
              <w:spacing w:after="0" w:line="151" w:lineRule="exact"/>
              <w:rPr>
                <w:sz w:val="20"/>
                <w:szCs w:val="20"/>
                <w:color w:val="auto"/>
              </w:rPr>
            </w:pPr>
            <w:r>
              <w:rPr>
                <w:rFonts w:ascii="Arial" w:cs="Arial" w:eastAsia="Arial" w:hAnsi="Arial"/>
                <w:sz w:val="14"/>
                <w:szCs w:val="14"/>
                <w:color w:val="auto"/>
              </w:rPr>
              <w:t>Cover Page Interactive Data File (formatted as inline XBRL and contained in Exhibit</w:t>
            </w: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101).</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1120" w:right="4340" w:hanging="653"/>
        <w:spacing w:after="0" w:line="251" w:lineRule="auto"/>
        <w:tabs>
          <w:tab w:leader="none" w:pos="11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Certain confidential information contained in this exhibit has been omitted because it is both (i) not material and (ii) is the type that the Registrant treats as private or confidential.</w:t>
      </w:r>
    </w:p>
    <w:p>
      <w:pPr>
        <w:spacing w:after="0" w:line="1" w:lineRule="exact"/>
        <w:rPr>
          <w:sz w:val="20"/>
          <w:szCs w:val="20"/>
          <w:color w:val="auto"/>
        </w:rPr>
      </w:pPr>
    </w:p>
    <w:p>
      <w:pPr>
        <w:ind w:left="1120" w:hanging="653"/>
        <w:spacing w:after="0"/>
        <w:tabs>
          <w:tab w:leader="none" w:pos="11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agreement.</w:t>
      </w:r>
    </w:p>
    <w:p>
      <w:pPr>
        <w:spacing w:after="0" w:line="40" w:lineRule="exact"/>
        <w:rPr>
          <w:sz w:val="20"/>
          <w:szCs w:val="20"/>
          <w:color w:val="auto"/>
        </w:rPr>
      </w:pPr>
    </w:p>
    <w:p>
      <w:pPr>
        <w:ind w:left="1120" w:hanging="641"/>
        <w:spacing w:after="0"/>
        <w:tabs>
          <w:tab w:leader="none" w:pos="11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jc w:val="both"/>
        <w:ind w:left="1120" w:right="4340" w:hanging="668"/>
        <w:spacing w:after="0"/>
        <w:tabs>
          <w:tab w:leader="none" w:pos="11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560" w:type="dxa"/>
            <w:vAlign w:val="bottom"/>
          </w:tcPr>
          <w:p>
            <w:pPr>
              <w:spacing w:after="0"/>
              <w:rPr>
                <w:sz w:val="21"/>
                <w:szCs w:val="21"/>
                <w:color w:val="auto"/>
              </w:rPr>
            </w:pPr>
          </w:p>
        </w:tc>
        <w:tc>
          <w:tcPr>
            <w:tcW w:w="7660" w:type="dxa"/>
            <w:vAlign w:val="bottom"/>
            <w:gridSpan w:val="2"/>
          </w:tcPr>
          <w:p>
            <w:pPr>
              <w:ind w:left="1580"/>
              <w:spacing w:after="0"/>
              <w:rPr>
                <w:sz w:val="20"/>
                <w:szCs w:val="20"/>
                <w:color w:val="auto"/>
              </w:rPr>
            </w:pPr>
            <w:r>
              <w:rPr>
                <w:rFonts w:ascii="Arial" w:cs="Arial" w:eastAsia="Arial" w:hAnsi="Arial"/>
                <w:sz w:val="18"/>
                <w:szCs w:val="18"/>
                <w:b w:val="1"/>
                <w:bCs w:val="1"/>
                <w:color w:val="auto"/>
              </w:rPr>
              <w:t>MARQETA, INC.</w:t>
            </w:r>
          </w:p>
        </w:tc>
      </w:tr>
      <w:tr>
        <w:trPr>
          <w:trHeight w:val="434"/>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24, 2026</w:t>
            </w: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(Mike) Milotich</w:t>
            </w:r>
          </w:p>
        </w:tc>
      </w:tr>
      <w:tr>
        <w:trPr>
          <w:trHeight w:val="218"/>
        </w:trPr>
        <w:tc>
          <w:tcPr>
            <w:tcW w:w="3560" w:type="dxa"/>
            <w:vAlign w:val="bottom"/>
          </w:tcPr>
          <w:p>
            <w:pPr>
              <w:spacing w:after="0"/>
              <w:rPr>
                <w:sz w:val="18"/>
                <w:szCs w:val="18"/>
                <w:color w:val="auto"/>
              </w:rPr>
            </w:pP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8"/>
                <w:szCs w:val="18"/>
                <w:color w:val="auto"/>
              </w:rPr>
              <w:t>Michael (Mike) Milotich</w:t>
            </w:r>
          </w:p>
        </w:tc>
      </w:tr>
      <w:tr>
        <w:trPr>
          <w:trHeight w:val="247"/>
        </w:trPr>
        <w:tc>
          <w:tcPr>
            <w:tcW w:w="3560" w:type="dxa"/>
            <w:vAlign w:val="bottom"/>
          </w:tcPr>
          <w:p>
            <w:pPr>
              <w:spacing w:after="0"/>
              <w:rPr>
                <w:sz w:val="21"/>
                <w:szCs w:val="21"/>
                <w:color w:val="auto"/>
              </w:rPr>
            </w:pP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407"/>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24, 2026</w:t>
            </w: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Patti Kangwankij</w:t>
            </w:r>
          </w:p>
        </w:tc>
      </w:tr>
      <w:tr>
        <w:trPr>
          <w:trHeight w:val="218"/>
        </w:trPr>
        <w:tc>
          <w:tcPr>
            <w:tcW w:w="3560" w:type="dxa"/>
            <w:vAlign w:val="bottom"/>
          </w:tcPr>
          <w:p>
            <w:pPr>
              <w:spacing w:after="0"/>
              <w:rPr>
                <w:sz w:val="18"/>
                <w:szCs w:val="18"/>
                <w:color w:val="auto"/>
              </w:rPr>
            </w:pP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8"/>
                <w:szCs w:val="18"/>
                <w:color w:val="auto"/>
              </w:rPr>
              <w:t>Patti Kangwankij</w:t>
            </w:r>
          </w:p>
        </w:tc>
      </w:tr>
      <w:tr>
        <w:trPr>
          <w:trHeight w:val="247"/>
        </w:trPr>
        <w:tc>
          <w:tcPr>
            <w:tcW w:w="3560" w:type="dxa"/>
            <w:vAlign w:val="bottom"/>
          </w:tcPr>
          <w:p>
            <w:pPr>
              <w:spacing w:after="0"/>
              <w:rPr>
                <w:sz w:val="21"/>
                <w:szCs w:val="21"/>
                <w:color w:val="auto"/>
              </w:rPr>
            </w:pP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447"/>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24, 2026</w:t>
            </w: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Barkema</w:t>
            </w:r>
          </w:p>
        </w:tc>
      </w:tr>
      <w:tr>
        <w:trPr>
          <w:trHeight w:val="218"/>
        </w:trPr>
        <w:tc>
          <w:tcPr>
            <w:tcW w:w="3560" w:type="dxa"/>
            <w:vAlign w:val="bottom"/>
          </w:tcPr>
          <w:p>
            <w:pPr>
              <w:spacing w:after="0"/>
              <w:rPr>
                <w:sz w:val="18"/>
                <w:szCs w:val="18"/>
                <w:color w:val="auto"/>
              </w:rPr>
            </w:pP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8"/>
                <w:szCs w:val="18"/>
                <w:color w:val="auto"/>
              </w:rPr>
              <w:t>Sarah Barkema</w:t>
            </w:r>
          </w:p>
        </w:tc>
      </w:tr>
      <w:tr>
        <w:trPr>
          <w:trHeight w:val="247"/>
        </w:trPr>
        <w:tc>
          <w:tcPr>
            <w:tcW w:w="3560" w:type="dxa"/>
            <w:vAlign w:val="bottom"/>
          </w:tcPr>
          <w:p>
            <w:pPr>
              <w:spacing w:after="0"/>
              <w:rPr>
                <w:sz w:val="21"/>
                <w:szCs w:val="21"/>
                <w:color w:val="auto"/>
              </w:rPr>
            </w:pPr>
          </w:p>
        </w:tc>
        <w:tc>
          <w:tcPr>
            <w:tcW w:w="2680" w:type="dxa"/>
            <w:vAlign w:val="bottom"/>
          </w:tcPr>
          <w:p>
            <w:pPr>
              <w:ind w:left="1580"/>
              <w:spacing w:after="0"/>
              <w:rPr>
                <w:sz w:val="20"/>
                <w:szCs w:val="20"/>
                <w:color w:val="auto"/>
              </w:rPr>
            </w:pPr>
            <w:r>
              <w:rPr>
                <w:rFonts w:ascii="Arial" w:cs="Arial" w:eastAsia="Arial" w:hAnsi="Arial"/>
                <w:sz w:val="18"/>
                <w:szCs w:val="18"/>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8"/>
                <w:szCs w:val="18"/>
                <w:color w:val="auto"/>
              </w:rPr>
              <w:t>Chief Accounting Officer (Principal Accounting Officer)</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Michael Milotich and Crystal Sumner, and each of them, as his or her true and lawful attorneys-in-fact and agents, with full power of substitution and resubstitution, for him or her and in his or her name, place and stead,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lawfully do or cause to be done by virtue hereof.</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19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Signature</w:t>
            </w:r>
          </w:p>
        </w:tc>
        <w:tc>
          <w:tcPr>
            <w:tcW w:w="2740" w:type="dxa"/>
            <w:vAlign w:val="bottom"/>
          </w:tcPr>
          <w:p>
            <w:pPr>
              <w:spacing w:after="0"/>
              <w:rPr>
                <w:sz w:val="18"/>
                <w:szCs w:val="18"/>
                <w:color w:val="auto"/>
              </w:rPr>
            </w:pPr>
          </w:p>
        </w:tc>
        <w:tc>
          <w:tcPr>
            <w:tcW w:w="2460" w:type="dxa"/>
            <w:vAlign w:val="bottom"/>
            <w:gridSpan w:val="2"/>
          </w:tcPr>
          <w:p>
            <w:pPr>
              <w:jc w:val="center"/>
              <w:ind w:right="2080"/>
              <w:spacing w:after="0"/>
              <w:rPr>
                <w:sz w:val="20"/>
                <w:szCs w:val="20"/>
                <w:color w:val="auto"/>
              </w:rPr>
            </w:pPr>
            <w:r>
              <w:rPr>
                <w:rFonts w:ascii="Arial" w:cs="Arial" w:eastAsia="Arial" w:hAnsi="Arial"/>
                <w:sz w:val="18"/>
                <w:szCs w:val="18"/>
                <w:b w:val="1"/>
                <w:bCs w:val="1"/>
                <w:color w:val="auto"/>
              </w:rPr>
              <w:t>Title</w:t>
            </w:r>
          </w:p>
        </w:tc>
        <w:tc>
          <w:tcPr>
            <w:tcW w:w="1660" w:type="dxa"/>
            <w:vAlign w:val="bottom"/>
          </w:tcPr>
          <w:p>
            <w:pPr>
              <w:spacing w:after="0"/>
              <w:rPr>
                <w:sz w:val="18"/>
                <w:szCs w:val="18"/>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/s/ Michael (Mike) Milotich</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9"/>
              </w:rPr>
              <w:t>Chief Executive Officer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0" w:type="dxa"/>
            <w:vAlign w:val="bottom"/>
            <w:gridSpan w:val="3"/>
            <w:vMerge w:val="restart"/>
          </w:tcPr>
          <w:p>
            <w:pPr>
              <w:jc w:val="center"/>
              <w:ind w:left="570"/>
              <w:spacing w:after="0"/>
              <w:rPr>
                <w:sz w:val="20"/>
                <w:szCs w:val="20"/>
                <w:color w:val="auto"/>
              </w:rPr>
            </w:pPr>
            <w:r>
              <w:rPr>
                <w:rFonts w:ascii="Arial" w:cs="Arial" w:eastAsia="Arial" w:hAnsi="Arial"/>
                <w:sz w:val="18"/>
                <w:szCs w:val="18"/>
                <w:color w:val="auto"/>
                <w:w w:val="99"/>
              </w:rPr>
              <w:t>(Principal Executive Officer)</w:t>
            </w: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Michael (Mike) Milotich</w:t>
            </w:r>
          </w:p>
        </w:tc>
        <w:tc>
          <w:tcPr>
            <w:tcW w:w="5200" w:type="dxa"/>
            <w:vAlign w:val="bottom"/>
            <w:gridSpan w:val="3"/>
            <w:vMerge w:val="continue"/>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rPr>
              <w:t>/s/ Patti Kangwankij</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rPr>
              <w:t>Chief Financial Officer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0" w:type="dxa"/>
            <w:vAlign w:val="bottom"/>
            <w:gridSpan w:val="3"/>
            <w:vMerge w:val="restart"/>
          </w:tcPr>
          <w:p>
            <w:pPr>
              <w:jc w:val="center"/>
              <w:ind w:left="550"/>
              <w:spacing w:after="0"/>
              <w:rPr>
                <w:sz w:val="20"/>
                <w:szCs w:val="20"/>
                <w:color w:val="auto"/>
              </w:rPr>
            </w:pPr>
            <w:r>
              <w:rPr>
                <w:rFonts w:ascii="Arial" w:cs="Arial" w:eastAsia="Arial" w:hAnsi="Arial"/>
                <w:sz w:val="18"/>
                <w:szCs w:val="18"/>
                <w:color w:val="auto"/>
                <w:w w:val="99"/>
              </w:rPr>
              <w:t>(Principal Financial Officer)</w:t>
            </w: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rPr>
              <w:t>Patti Kangwankij</w:t>
            </w:r>
          </w:p>
        </w:tc>
        <w:tc>
          <w:tcPr>
            <w:tcW w:w="5200" w:type="dxa"/>
            <w:vAlign w:val="bottom"/>
            <w:gridSpan w:val="3"/>
            <w:vMerge w:val="continue"/>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rPr>
              <w:t>/s/ Sarah Barkema</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9"/>
              </w:rPr>
              <w:t>Chief Accounting Officer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0" w:type="dxa"/>
            <w:vAlign w:val="bottom"/>
            <w:gridSpan w:val="3"/>
            <w:vMerge w:val="restart"/>
          </w:tcPr>
          <w:p>
            <w:pPr>
              <w:jc w:val="center"/>
              <w:ind w:left="570"/>
              <w:spacing w:after="0"/>
              <w:rPr>
                <w:sz w:val="20"/>
                <w:szCs w:val="20"/>
                <w:color w:val="auto"/>
              </w:rPr>
            </w:pPr>
            <w:r>
              <w:rPr>
                <w:rFonts w:ascii="Arial" w:cs="Arial" w:eastAsia="Arial" w:hAnsi="Arial"/>
                <w:sz w:val="18"/>
                <w:szCs w:val="18"/>
                <w:color w:val="auto"/>
              </w:rPr>
              <w:t>(Principal Accounting Officer)</w:t>
            </w: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rPr>
              <w:t>Sarah Barkema</w:t>
            </w:r>
          </w:p>
        </w:tc>
        <w:tc>
          <w:tcPr>
            <w:tcW w:w="5200" w:type="dxa"/>
            <w:vAlign w:val="bottom"/>
            <w:gridSpan w:val="3"/>
            <w:vMerge w:val="continue"/>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/s/ Najuma Atkinson</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Najuma Atkinson</w:t>
            </w: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rPr>
              <w:t>/s/ Alpesh Chokshi</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rPr>
              <w:t>Alpesh Chokshi</w:t>
            </w: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/s/ Martha Cummings</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Martha Cummings</w:t>
            </w: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/s/ Jason Gardner</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Jason Gardner</w:t>
            </w: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/s/ R. Mark Graf</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8"/>
              </w:rPr>
              <w:t>R. Mark Graf</w:t>
            </w: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/s/ Judson Linville</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Judson Linville</w:t>
            </w: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9"/>
              </w:rPr>
              <w:t>/s/ Elaine Paul</w:t>
            </w:r>
          </w:p>
        </w:tc>
        <w:tc>
          <w:tcPr>
            <w:tcW w:w="5200" w:type="dxa"/>
            <w:vAlign w:val="bottom"/>
            <w:gridSpan w:val="3"/>
          </w:tcPr>
          <w:p>
            <w:pPr>
              <w:jc w:val="center"/>
              <w:ind w:left="570"/>
              <w:spacing w:after="0"/>
              <w:rPr>
                <w:sz w:val="20"/>
                <w:szCs w:val="20"/>
                <w:color w:val="auto"/>
              </w:rPr>
            </w:pPr>
            <w:r>
              <w:rPr>
                <w:rFonts w:ascii="Arial" w:cs="Arial" w:eastAsia="Arial" w:hAnsi="Arial"/>
                <w:sz w:val="18"/>
                <w:szCs w:val="18"/>
                <w:color w:val="auto"/>
                <w:w w:val="98"/>
              </w:rPr>
              <w:t>Director</w:t>
            </w:r>
          </w:p>
        </w:tc>
        <w:tc>
          <w:tcPr>
            <w:tcW w:w="2600" w:type="dxa"/>
            <w:vAlign w:val="bottom"/>
            <w:gridSpan w:val="3"/>
          </w:tcPr>
          <w:p>
            <w:pPr>
              <w:jc w:val="center"/>
              <w:ind w:left="1030"/>
              <w:spacing w:after="0"/>
              <w:rPr>
                <w:sz w:val="20"/>
                <w:szCs w:val="20"/>
                <w:color w:val="auto"/>
              </w:rPr>
            </w:pPr>
            <w:r>
              <w:rPr>
                <w:rFonts w:ascii="Arial" w:cs="Arial" w:eastAsia="Arial" w:hAnsi="Arial"/>
                <w:sz w:val="18"/>
                <w:szCs w:val="18"/>
                <w:color w:val="auto"/>
              </w:rPr>
              <w:t>February 24, 2026</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8"/>
              </w:rPr>
              <w:t>Elaine Paul</w:t>
            </w: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80" w:type="dxa"/>
            <w:vAlign w:val="bottom"/>
          </w:tcPr>
          <w:p>
            <w:pPr>
              <w:jc w:val="center"/>
              <w:spacing w:after="0"/>
              <w:rPr>
                <w:sz w:val="20"/>
                <w:szCs w:val="20"/>
                <w:color w:val="auto"/>
              </w:rPr>
            </w:pPr>
            <w:r>
              <w:rPr>
                <w:rFonts w:ascii="Arial" w:cs="Arial" w:eastAsia="Arial" w:hAnsi="Arial"/>
                <w:sz w:val="18"/>
                <w:szCs w:val="18"/>
                <w:color w:val="auto"/>
                <w:w w:val="99"/>
              </w:rPr>
              <w:t>/s/ Kiran Prasad</w:t>
            </w:r>
          </w:p>
        </w:tc>
        <w:tc>
          <w:tcPr>
            <w:tcW w:w="4780" w:type="dxa"/>
            <w:vAlign w:val="bottom"/>
          </w:tcPr>
          <w:p>
            <w:pPr>
              <w:ind w:left="26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540"/>
              <w:spacing w:after="0"/>
              <w:rPr>
                <w:sz w:val="20"/>
                <w:szCs w:val="20"/>
                <w:color w:val="auto"/>
              </w:rPr>
            </w:pPr>
            <w:r>
              <w:rPr>
                <w:rFonts w:ascii="Arial" w:cs="Arial" w:eastAsia="Arial" w:hAnsi="Arial"/>
                <w:sz w:val="18"/>
                <w:szCs w:val="18"/>
                <w:color w:val="auto"/>
                <w:w w:val="99"/>
              </w:rPr>
              <w:t>February 24, 2026</w:t>
            </w:r>
          </w:p>
        </w:tc>
      </w:tr>
      <w:tr>
        <w:trPr>
          <w:trHeight w:val="23"/>
        </w:trPr>
        <w:tc>
          <w:tcPr>
            <w:tcW w:w="298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32"/>
        </w:trPr>
        <w:tc>
          <w:tcPr>
            <w:tcW w:w="2980" w:type="dxa"/>
            <w:vAlign w:val="bottom"/>
          </w:tcPr>
          <w:p>
            <w:pPr>
              <w:jc w:val="center"/>
              <w:spacing w:after="0"/>
              <w:rPr>
                <w:sz w:val="20"/>
                <w:szCs w:val="20"/>
                <w:color w:val="auto"/>
              </w:rPr>
            </w:pPr>
            <w:r>
              <w:rPr>
                <w:rFonts w:ascii="Arial" w:cs="Arial" w:eastAsia="Arial" w:hAnsi="Arial"/>
                <w:sz w:val="18"/>
                <w:szCs w:val="18"/>
                <w:color w:val="auto"/>
                <w:w w:val="99"/>
              </w:rPr>
              <w:t>Kiran Prasad</w:t>
            </w:r>
          </w:p>
        </w:tc>
        <w:tc>
          <w:tcPr>
            <w:tcW w:w="478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05"/>
        </w:trPr>
        <w:tc>
          <w:tcPr>
            <w:tcW w:w="2980" w:type="dxa"/>
            <w:vAlign w:val="bottom"/>
          </w:tcPr>
          <w:p>
            <w:pPr>
              <w:jc w:val="center"/>
              <w:spacing w:after="0"/>
              <w:rPr>
                <w:sz w:val="20"/>
                <w:szCs w:val="20"/>
                <w:color w:val="auto"/>
              </w:rPr>
            </w:pPr>
            <w:r>
              <w:rPr>
                <w:rFonts w:ascii="Arial" w:cs="Arial" w:eastAsia="Arial" w:hAnsi="Arial"/>
                <w:sz w:val="18"/>
                <w:szCs w:val="18"/>
                <w:color w:val="auto"/>
                <w:w w:val="99"/>
              </w:rPr>
              <w:t>/s/ Wendy Thomas</w:t>
            </w:r>
          </w:p>
        </w:tc>
        <w:tc>
          <w:tcPr>
            <w:tcW w:w="4780" w:type="dxa"/>
            <w:vAlign w:val="bottom"/>
          </w:tcPr>
          <w:p>
            <w:pPr>
              <w:ind w:left="262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540"/>
              <w:spacing w:after="0"/>
              <w:rPr>
                <w:sz w:val="20"/>
                <w:szCs w:val="20"/>
                <w:color w:val="auto"/>
              </w:rPr>
            </w:pPr>
            <w:r>
              <w:rPr>
                <w:rFonts w:ascii="Arial" w:cs="Arial" w:eastAsia="Arial" w:hAnsi="Arial"/>
                <w:sz w:val="18"/>
                <w:szCs w:val="18"/>
                <w:color w:val="auto"/>
                <w:w w:val="99"/>
              </w:rPr>
              <w:t>February 24, 2026</w:t>
            </w:r>
          </w:p>
        </w:tc>
      </w:tr>
      <w:tr>
        <w:trPr>
          <w:trHeight w:val="23"/>
        </w:trPr>
        <w:tc>
          <w:tcPr>
            <w:tcW w:w="298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32"/>
        </w:trPr>
        <w:tc>
          <w:tcPr>
            <w:tcW w:w="2980" w:type="dxa"/>
            <w:vAlign w:val="bottom"/>
          </w:tcPr>
          <w:p>
            <w:pPr>
              <w:jc w:val="center"/>
              <w:spacing w:after="0"/>
              <w:rPr>
                <w:sz w:val="20"/>
                <w:szCs w:val="20"/>
                <w:color w:val="auto"/>
              </w:rPr>
            </w:pPr>
            <w:r>
              <w:rPr>
                <w:rFonts w:ascii="Arial" w:cs="Arial" w:eastAsia="Arial" w:hAnsi="Arial"/>
                <w:sz w:val="18"/>
                <w:szCs w:val="18"/>
                <w:color w:val="auto"/>
                <w:w w:val="99"/>
              </w:rPr>
              <w:t>Wendy Thomas</w:t>
            </w:r>
          </w:p>
        </w:tc>
        <w:tc>
          <w:tcPr>
            <w:tcW w:w="4780" w:type="dxa"/>
            <w:vAlign w:val="bottom"/>
          </w:tcPr>
          <w:p>
            <w:pPr>
              <w:spacing w:after="0"/>
              <w:rPr>
                <w:sz w:val="20"/>
                <w:szCs w:val="20"/>
                <w:color w:val="auto"/>
              </w:rPr>
            </w:pPr>
          </w:p>
        </w:tc>
        <w:tc>
          <w:tcPr>
            <w:tcW w:w="3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780"/>
          </w:cols>
          <w:pgMar w:left="320" w:top="125" w:right="799" w:bottom="1440" w:gutter="0" w:footer="0" w:header="0"/>
        </w:sectPr>
      </w:pPr>
    </w:p>
    <w:bookmarkStart w:id="118" w:name="page119"/>
    <w:bookmarkEnd w:id="118"/>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74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74320"/>
                    </a:xfrm>
                    <a:prstGeom prst="rect">
                      <a:avLst/>
                    </a:prstGeom>
                    <a:noFill/>
                  </pic:spPr>
                </pic:pic>
              </a:graphicData>
            </a:graphic>
          </wp:anchor>
        </w:drawing>
      </w:r>
    </w:p>
    <w:p>
      <w:pPr>
        <w:spacing w:after="0"/>
        <w:tabs>
          <w:tab w:leader="none" w:pos="3280" w:val="left"/>
        </w:tabs>
        <w:rPr>
          <w:sz w:val="20"/>
          <w:szCs w:val="20"/>
          <w:color w:val="auto"/>
        </w:rPr>
      </w:pPr>
      <w:r>
        <w:rPr>
          <w:rFonts w:ascii="Arial" w:cs="Arial" w:eastAsia="Arial" w:hAnsi="Arial"/>
          <w:sz w:val="18"/>
          <w:szCs w:val="18"/>
          <w:color w:val="auto"/>
        </w:rPr>
        <w:t>January 6, 2026</w:t>
      </w:r>
      <w:r>
        <w:rPr>
          <w:sz w:val="20"/>
          <w:szCs w:val="20"/>
          <w:color w:val="auto"/>
        </w:rPr>
        <w:tab/>
      </w:r>
      <w:r>
        <w:rPr>
          <w:rFonts w:ascii="Arial" w:cs="Arial" w:eastAsia="Arial" w:hAnsi="Arial"/>
          <w:sz w:val="17"/>
          <w:szCs w:val="17"/>
          <w:color w:val="auto"/>
        </w:rPr>
        <w:t>Exhibit 10.16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Patti Kangwankij</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22222"/>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222222"/>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222222"/>
        </w:rPr>
        <w:t>Sent via email:</w:t>
      </w:r>
      <w:r>
        <w:rPr>
          <w:rFonts w:ascii="Arial" w:cs="Arial" w:eastAsia="Arial" w:hAnsi="Arial"/>
          <w:sz w:val="18"/>
          <w:szCs w:val="18"/>
          <w:color w:val="222222"/>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-118745</wp:posOffset>
            </wp:positionV>
            <wp:extent cx="23114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231140" cy="1289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 Offer Letter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Patti Kangwankij,</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Marqeta, Inc. (the “Company”) is delighted to extend to you this offer to join our team. These are incredibly exciting times at Marqeta and we look forward to having you be part of our future success! The terms of this offer are outlined below.</w:t>
      </w:r>
    </w:p>
    <w:p>
      <w:pPr>
        <w:spacing w:after="0" w:line="193" w:lineRule="exact"/>
        <w:rPr>
          <w:sz w:val="20"/>
          <w:szCs w:val="20"/>
          <w:color w:val="auto"/>
        </w:rPr>
      </w:pPr>
    </w:p>
    <w:p>
      <w:pPr>
        <w:jc w:val="both"/>
        <w:ind w:right="420" w:firstLine="8"/>
        <w:spacing w:after="0" w:line="268" w:lineRule="auto"/>
        <w:tabs>
          <w:tab w:leader="none" w:pos="35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We are pleased to offer you the position of Chief Financial Officer, reporting to Michael Milotich. You will be based in San</w:t>
      </w:r>
      <w:r>
        <w:rPr>
          <w:rFonts w:ascii="Arial" w:cs="Arial" w:eastAsia="Arial" w:hAnsi="Arial"/>
          <w:sz w:val="18"/>
          <w:szCs w:val="18"/>
          <w:b w:val="1"/>
          <w:bCs w:val="1"/>
          <w:color w:val="auto"/>
        </w:rPr>
        <w:t xml:space="preserve"> </w:t>
      </w:r>
      <w:r>
        <w:rPr>
          <w:rFonts w:ascii="Arial" w:cs="Arial" w:eastAsia="Arial" w:hAnsi="Arial"/>
          <w:sz w:val="18"/>
          <w:szCs w:val="18"/>
          <w:color w:val="auto"/>
        </w:rPr>
        <w:t>Francisco, California. This offer is for a full-time, exempt position with an intended Start Date of February 9, 2026 (the date you actually commence employment with the Company will be the “Start Date”).</w:t>
      </w:r>
    </w:p>
    <w:p>
      <w:pPr>
        <w:spacing w:after="0" w:line="197" w:lineRule="exact"/>
        <w:rPr>
          <w:rFonts w:ascii="Arial" w:cs="Arial" w:eastAsia="Arial" w:hAnsi="Arial"/>
          <w:sz w:val="18"/>
          <w:szCs w:val="18"/>
          <w:b w:val="1"/>
          <w:bCs w:val="1"/>
          <w:color w:val="auto"/>
        </w:rPr>
      </w:pPr>
    </w:p>
    <w:p>
      <w:pPr>
        <w:ind w:left="320" w:hanging="312"/>
        <w:spacing w:after="0"/>
        <w:tabs>
          <w:tab w:leader="none" w:pos="3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265" w:lineRule="exact"/>
        <w:rPr>
          <w:rFonts w:ascii="Arial" w:cs="Arial" w:eastAsia="Arial" w:hAnsi="Arial"/>
          <w:sz w:val="18"/>
          <w:szCs w:val="18"/>
          <w:b w:val="1"/>
          <w:bCs w:val="1"/>
          <w:color w:val="auto"/>
        </w:rPr>
      </w:pPr>
    </w:p>
    <w:p>
      <w:pPr>
        <w:ind w:left="980" w:right="60" w:hanging="324"/>
        <w:spacing w:after="0" w:line="259" w:lineRule="auto"/>
        <w:tabs>
          <w:tab w:leader="none" w:pos="967"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Your annual base salary will be $475,000, less applicable deductions and withholdings, payable semi-monthly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standard payroll schedule. Because your position is exempt from overtime pay, your salary will compensate you for all hours worked. Your annual base salary is contingent on your working location. If your working location changes, your salary may be adjusted. Additionally, your salary may be adjusted from time to time, including through increases, in the Company’s sole discretion.</w:t>
      </w:r>
    </w:p>
    <w:p>
      <w:pPr>
        <w:spacing w:after="0" w:line="16" w:lineRule="exact"/>
        <w:rPr>
          <w:rFonts w:ascii="Times New Roman" w:cs="Times New Roman" w:eastAsia="Times New Roman" w:hAnsi="Times New Roman"/>
          <w:sz w:val="18"/>
          <w:szCs w:val="18"/>
          <w:color w:val="auto"/>
        </w:rPr>
      </w:pPr>
    </w:p>
    <w:p>
      <w:pPr>
        <w:ind w:left="980" w:right="60" w:hanging="324"/>
        <w:spacing w:after="0" w:line="259" w:lineRule="auto"/>
        <w:tabs>
          <w:tab w:leader="none" w:pos="967"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Performance Bonus. </w:t>
      </w:r>
      <w:r>
        <w:rPr>
          <w:rFonts w:ascii="Arial" w:cs="Arial" w:eastAsia="Arial" w:hAnsi="Arial"/>
          <w:sz w:val="18"/>
          <w:szCs w:val="18"/>
          <w:color w:val="auto"/>
        </w:rPr>
        <w:t>You are also eligible to earn an annual discretionary bonus with a target of 75% of your 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prorated from your Start Date. Following the end of each calendar year, the Company, in its discretion, will determine to what extent you have earned a bonus for that year. To be eligible to earn and be paid your annual bonus, you must be employed by the Company through and on the actual bonus payment date. If your Start Date is October 1st or later, you will not be eligible to receive a performance bonus for the calendar year of your Start Date.</w:t>
      </w:r>
    </w:p>
    <w:p>
      <w:pPr>
        <w:spacing w:after="0" w:line="16" w:lineRule="exact"/>
        <w:rPr>
          <w:rFonts w:ascii="Times New Roman" w:cs="Times New Roman" w:eastAsia="Times New Roman" w:hAnsi="Times New Roman"/>
          <w:sz w:val="18"/>
          <w:szCs w:val="18"/>
          <w:color w:val="auto"/>
        </w:rPr>
      </w:pPr>
    </w:p>
    <w:p>
      <w:pPr>
        <w:ind w:left="980" w:hanging="324"/>
        <w:spacing w:after="0" w:line="254" w:lineRule="auto"/>
        <w:tabs>
          <w:tab w:leader="none" w:pos="967" w:val="left"/>
        </w:tabs>
        <w:numPr>
          <w:ilvl w:val="1"/>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Sign-on Bonus</w:t>
      </w:r>
      <w:r>
        <w:rPr>
          <w:rFonts w:ascii="Arial" w:cs="Arial" w:eastAsia="Arial" w:hAnsi="Arial"/>
          <w:sz w:val="18"/>
          <w:szCs w:val="18"/>
          <w:color w:val="auto"/>
        </w:rPr>
        <w:t>: You are eligible to earn and receive a one-time, discretionary $250,000 sign-on bonus, less applicable tax</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withholdings and deductions, contingent on your remaining employed by the Company for at least one year from your Start Date (the “Sign-On Bonus”). The Sign-On Bonus is not tied to specific job performance and is deemed earned only if you remain continuously employed by the Company through the one-year anniversary from your Start Date. If you voluntarily resign from employment at the Company prior to the completion of one year of service or if your employment is terminated by the Company due to misconduct (as defined by applicable law), you will not have earned the Sign-On Bonus. You may elect to receive the Sign-On Bonus as an advance, before your one-year anniversary of the Start Date, subject to your execution of a separate Bonus Repayment Agreement. If you elect to receive the Sign-On Bonus in advance of your one-year anniversary (i.e., before it is earned), it will be paid to you within 30 days of your Start Date, after you have executed a Bonus Repayment</w:t>
      </w:r>
    </w:p>
    <w:p>
      <w:pPr>
        <w:sectPr>
          <w:pgSz w:w="11900" w:h="16838" w:orient="portrait"/>
          <w:cols w:equalWidth="0" w:num="1">
            <w:col w:w="11160"/>
          </w:cols>
          <w:pgMar w:left="320" w:top="1440" w:right="419" w:bottom="1440" w:gutter="0" w:footer="0" w:header="0"/>
        </w:sectPr>
      </w:pPr>
    </w:p>
    <w:bookmarkStart w:id="119" w:name="page120"/>
    <w:bookmarkEnd w:id="119"/>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74320"/>
                    </a:xfrm>
                    <a:prstGeom prst="rect">
                      <a:avLst/>
                    </a:prstGeom>
                    <a:noFill/>
                  </pic:spPr>
                </pic:pic>
              </a:graphicData>
            </a:graphic>
          </wp:anchor>
        </w:drawing>
      </w:r>
    </w:p>
    <w:p>
      <w:pPr>
        <w:ind w:left="972" w:right="120"/>
        <w:spacing w:after="0" w:line="255" w:lineRule="auto"/>
        <w:rPr>
          <w:sz w:val="20"/>
          <w:szCs w:val="20"/>
          <w:color w:val="auto"/>
        </w:rPr>
      </w:pPr>
      <w:r>
        <w:rPr>
          <w:rFonts w:ascii="Arial" w:cs="Arial" w:eastAsia="Arial" w:hAnsi="Arial"/>
          <w:sz w:val="18"/>
          <w:szCs w:val="18"/>
          <w:color w:val="auto"/>
        </w:rPr>
        <w:t>Agreement. However, you will be required to repay a prorated portion of the advanced amount should you resign or if your employment is terminated by the Company for misconduct (as defined by applicable law) prior to the end of your first year of service; these terms will be set forth in the separate Bonus Repayment Agreement. Alternatively, if you do not wish to execute a Bonus Repayment Agreement, you will be paid the Sign-On Bonus on your first one-year anniversary of the Start Date. If you wish to receive the Sign-On Bonus as an advance, please let us know within ten (10) days of the date of this offer letter and we will provide you with a Bonus Repayment Agreement. You must execute and return any Bonus Repayment Agreement prior to your first day of employment with the Company otherwise it will be presumed that you have elected to receive the Sign-On Bonus on your first one-year anniversary of the Start Date. You have the right to consult with counsel of your own choosing regarding any Bonus Repayment Agreement, and will be provided with no less than five (5) business days to do so.</w:t>
      </w:r>
    </w:p>
    <w:p>
      <w:pPr>
        <w:spacing w:after="0" w:line="316" w:lineRule="exact"/>
        <w:rPr>
          <w:sz w:val="20"/>
          <w:szCs w:val="20"/>
          <w:color w:val="auto"/>
        </w:rPr>
      </w:pPr>
    </w:p>
    <w:p>
      <w:pPr>
        <w:ind w:left="-8" w:right="40" w:firstLine="8"/>
        <w:spacing w:after="0" w:line="237" w:lineRule="auto"/>
        <w:tabs>
          <w:tab w:leader="none" w:pos="34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It will be recommended to the Company’s Board of Directors (or committee thereof) that you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(RSUs) with an estimated value of $5,950,000 (“RSU Value”), where the RSU Value shall be converted into a number of RSUs by dividing the Value by the average closing market price of one share of the Company’s Class A common stock for the twenty (20) consecutive trading day period ending on the last trading day prior to the Grant Date, rounded down to the nearest whole share. RSU grants are typically granted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following your Start Date. Each RSU represents one share of the Company’s Class A common stock. The RSUs will be subject to the terms and conditions applicable to restricted stock units granted under the Company’s 2021 Stock Option and Incentive Plan (the “Plan”) and the applicable restricted stock unit award agreement. The RSUs will vest over approximately three years as follows provided you remain in continuous service through the applicable vesting date: (i) with respect to the first 1/3 of the RSUs on the first quarterly “vesting date” occurring after the one-year anniversary of the vesting commencement date and (ii) with respect to an additional 1/12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RSUs on each quarterly vesting date thereafter. The vesting commencement date for RSUs will be the quarterly vest date immediately preceding your Start Date if it occurs during the first 45 days of an applicable quarter and the subsequent quarterly vest date if your Start Date occurs after the 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quarter. “Vesting date” means March 1, June 1, September 1, and December 1.</w:t>
      </w:r>
    </w:p>
    <w:p>
      <w:pPr>
        <w:spacing w:after="0" w:line="223" w:lineRule="exact"/>
        <w:rPr>
          <w:rFonts w:ascii="Arial" w:cs="Arial" w:eastAsia="Arial" w:hAnsi="Arial"/>
          <w:sz w:val="18"/>
          <w:szCs w:val="18"/>
          <w:b w:val="1"/>
          <w:bCs w:val="1"/>
          <w:color w:val="auto"/>
        </w:rPr>
      </w:pPr>
    </w:p>
    <w:p>
      <w:pPr>
        <w:ind w:left="-8" w:right="140" w:firstLine="8"/>
        <w:spacing w:after="0" w:line="255" w:lineRule="auto"/>
        <w:tabs>
          <w:tab w:leader="none" w:pos="34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Stock Units. </w:t>
      </w:r>
      <w:r>
        <w:rPr>
          <w:rFonts w:ascii="Arial" w:cs="Arial" w:eastAsia="Arial" w:hAnsi="Arial"/>
          <w:sz w:val="18"/>
          <w:szCs w:val="18"/>
          <w:color w:val="auto"/>
        </w:rPr>
        <w:t>It will be recommended to the Company’s Board of Directors (or committee thereof) that you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Performance Stock Units (PSUs) with an estimated value of $2,550,000 (“PSU Value”), where the PSU Value shall be converted into a number of PSUs by dividing the Value by the average closing market price of one share of the Company’s Class A common stock for the twenty (20) consecutive trading day period ending on the last trading day prior to the Grant Date, rounded down to the nearest whole share. PSU grants are typically granted for the executive team in the 1st quarter of each year. The performance-based vesting terms that apply to your PSUs will be the same goals and targets that apply to each executive team member. Typically, executive team PSUs vest </w:t>
      </w:r>
      <w:r>
        <w:rPr>
          <w:rFonts w:ascii="Arial" w:cs="Arial" w:eastAsia="Arial" w:hAnsi="Arial"/>
          <w:sz w:val="18"/>
          <w:szCs w:val="18"/>
          <w:color w:val="444746"/>
        </w:rPr>
        <w:t>as to 1/3 of</w:t>
      </w:r>
      <w:r>
        <w:rPr>
          <w:rFonts w:ascii="Arial" w:cs="Arial" w:eastAsia="Arial" w:hAnsi="Arial"/>
          <w:sz w:val="18"/>
          <w:szCs w:val="18"/>
          <w:color w:val="auto"/>
        </w:rPr>
        <w:t xml:space="preserve"> </w:t>
      </w:r>
      <w:r>
        <w:rPr>
          <w:rFonts w:ascii="Arial" w:cs="Arial" w:eastAsia="Arial" w:hAnsi="Arial"/>
          <w:sz w:val="18"/>
          <w:szCs w:val="18"/>
          <w:color w:val="444746"/>
        </w:rPr>
        <w:t xml:space="preserve">earned PSUs on the Company's first quarterly vest date following certification of the results. The remainder of earned PSUs vest quarterly thereafter. </w:t>
      </w:r>
      <w:r>
        <w:rPr>
          <w:rFonts w:ascii="Arial" w:cs="Arial" w:eastAsia="Arial" w:hAnsi="Arial"/>
          <w:sz w:val="18"/>
          <w:szCs w:val="18"/>
          <w:color w:val="000000"/>
        </w:rPr>
        <w:t>The PSUs will be subject to the Plan and the applicable performance stock unit agreement thereunder.</w:t>
      </w:r>
    </w:p>
    <w:p>
      <w:pPr>
        <w:spacing w:after="0" w:line="225" w:lineRule="exact"/>
        <w:rPr>
          <w:rFonts w:ascii="Arial" w:cs="Arial" w:eastAsia="Arial" w:hAnsi="Arial"/>
          <w:sz w:val="18"/>
          <w:szCs w:val="18"/>
          <w:b w:val="1"/>
          <w:bCs w:val="1"/>
          <w:color w:val="auto"/>
        </w:rPr>
      </w:pPr>
    </w:p>
    <w:p>
      <w:pPr>
        <w:ind w:left="-8" w:right="140" w:firstLine="8"/>
        <w:spacing w:after="0" w:line="268" w:lineRule="auto"/>
        <w:tabs>
          <w:tab w:leader="none" w:pos="34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&amp; Change in Control. </w:t>
      </w:r>
      <w:r>
        <w:rPr>
          <w:rFonts w:ascii="Arial" w:cs="Arial" w:eastAsia="Arial" w:hAnsi="Arial"/>
          <w:sz w:val="18"/>
          <w:szCs w:val="18"/>
          <w:color w:val="auto"/>
        </w:rPr>
        <w:t>You are eligible for the executive severance plan that applies to the Company executive officer team</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Severance Plan”) as disclosed in our SEC filings. You will be a participant in the Executive Severance Plan on the same terms as other members of the executive officer team that are not the CEO.</w:t>
      </w:r>
    </w:p>
    <w:p>
      <w:pPr>
        <w:spacing w:after="0" w:line="197" w:lineRule="exact"/>
        <w:rPr>
          <w:rFonts w:ascii="Arial" w:cs="Arial" w:eastAsia="Arial" w:hAnsi="Arial"/>
          <w:sz w:val="18"/>
          <w:szCs w:val="18"/>
          <w:b w:val="1"/>
          <w:bCs w:val="1"/>
          <w:color w:val="auto"/>
        </w:rPr>
      </w:pPr>
    </w:p>
    <w:p>
      <w:pPr>
        <w:ind w:left="-8" w:firstLine="8"/>
        <w:spacing w:after="0" w:line="268" w:lineRule="auto"/>
        <w:tabs>
          <w:tab w:leader="none" w:pos="34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As a Marqeta employee, you will be eligible to participate in the Company’s standard benefit plans,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off, 401(k), medical, dental, vision, life and disability insurance coverages. Your eligibility to participate in any employee benefits plans and the terms of your participation will be governed by the governing plan documents and nothing in this letter can</w:t>
      </w:r>
    </w:p>
    <w:p>
      <w:pPr>
        <w:sectPr>
          <w:pgSz w:w="11900" w:h="16838" w:orient="portrait"/>
          <w:cols w:equalWidth="0" w:num="1">
            <w:col w:w="11232"/>
          </w:cols>
          <w:pgMar w:left="328" w:top="1440" w:right="339" w:bottom="1440" w:gutter="0" w:footer="0" w:header="0"/>
        </w:sectPr>
      </w:pPr>
    </w:p>
    <w:bookmarkStart w:id="120" w:name="page121"/>
    <w:bookmarkEnd w:id="120"/>
    <w:p>
      <w:pPr>
        <w:ind w:right="4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74320"/>
                    </a:xfrm>
                    <a:prstGeom prst="rect">
                      <a:avLst/>
                    </a:prstGeom>
                    <a:noFill/>
                  </pic:spPr>
                </pic:pic>
              </a:graphicData>
            </a:graphic>
          </wp:anchor>
        </w:drawing>
        <w:t>modify the plan terms. Generally, you are eligible to enroll in our benefits plans as of your Start Date and your benefits are effective the 1st of the month following or coincident with your Start Date. The Company may modify employee benefits plans at its sole discretion.</w:t>
      </w:r>
    </w:p>
    <w:p>
      <w:pPr>
        <w:spacing w:after="0" w:line="193" w:lineRule="exact"/>
        <w:rPr>
          <w:sz w:val="20"/>
          <w:szCs w:val="20"/>
          <w:color w:val="auto"/>
        </w:rPr>
      </w:pPr>
    </w:p>
    <w:p>
      <w:pPr>
        <w:ind w:right="20" w:firstLine="8"/>
        <w:spacing w:after="0" w:line="254" w:lineRule="auto"/>
        <w:tabs>
          <w:tab w:leader="none" w:pos="2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Protective Covenants Agreement. </w:t>
      </w:r>
      <w:r>
        <w:rPr>
          <w:rFonts w:ascii="Arial" w:cs="Arial" w:eastAsia="Arial" w:hAnsi="Arial"/>
          <w:sz w:val="18"/>
          <w:szCs w:val="18"/>
          <w:color w:val="auto"/>
        </w:rPr>
        <w:t>In order to Protect the Company’s trade secrets, confidential and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222222"/>
        </w:rPr>
        <w:t>and</w:t>
      </w:r>
      <w:r>
        <w:rPr>
          <w:rFonts w:ascii="Arial" w:cs="Arial" w:eastAsia="Arial" w:hAnsi="Arial"/>
          <w:sz w:val="18"/>
          <w:szCs w:val="18"/>
          <w:b w:val="1"/>
          <w:bCs w:val="1"/>
          <w:color w:val="auto"/>
        </w:rPr>
        <w:t xml:space="preserve"> </w:t>
      </w:r>
      <w:r>
        <w:rPr>
          <w:rFonts w:ascii="Arial" w:cs="Arial" w:eastAsia="Arial" w:hAnsi="Arial"/>
          <w:sz w:val="18"/>
          <w:szCs w:val="18"/>
          <w:color w:val="222222"/>
        </w:rPr>
        <w:t>valuable customer relationships, you will be required to sign a Protective Covenants Agreement (PCA), a copy of which is attached to this offer letter. The PCA will be sent to you before your Start Date unless you are going to be employed in Alabama or Louisiana. If you are going to be employed in Alabama or Louisiana, the PCA will be sent to you on your first day of employment or shortly thereafter as part of your onboarding process. If you are going to be employed in Colorado, you will also be required to sign the Colorado Acknowledgement of Notice form. Please note that depending on the state where you are going to be employed, you may have a pre-defined length of time to consider the PCA before being required to sign it. If you voluntarily sign the PCA before the notice period expires, you waive the remainder of the notice period. You can check Addendum A to the PCA to see if a specific notice period applies for your state. If your state is not covered in Addendum A, or is covered but does not discuss a notice period, then no specific notice rule will apply. This offer is contingent upon your execution of the PCA.</w:t>
      </w:r>
    </w:p>
    <w:p>
      <w:pPr>
        <w:spacing w:after="0" w:line="212" w:lineRule="exact"/>
        <w:rPr>
          <w:rFonts w:ascii="Arial" w:cs="Arial" w:eastAsia="Arial" w:hAnsi="Arial"/>
          <w:sz w:val="18"/>
          <w:szCs w:val="18"/>
          <w:b w:val="1"/>
          <w:bCs w:val="1"/>
          <w:color w:val="auto"/>
        </w:rPr>
      </w:pPr>
    </w:p>
    <w:p>
      <w:pPr>
        <w:ind w:right="100" w:firstLine="8"/>
        <w:spacing w:after="0" w:line="256" w:lineRule="auto"/>
        <w:tabs>
          <w:tab w:leader="none" w:pos="2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Prior Employment and Conflicts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22222"/>
        </w:rPr>
        <w:t>This offer is being made contingent upon the understanding that if you are subject to any legal</w:t>
      </w:r>
      <w:r>
        <w:rPr>
          <w:rFonts w:ascii="Arial" w:cs="Arial" w:eastAsia="Arial" w:hAnsi="Arial"/>
          <w:sz w:val="18"/>
          <w:szCs w:val="18"/>
          <w:b w:val="1"/>
          <w:bCs w:val="1"/>
          <w:color w:val="auto"/>
        </w:rPr>
        <w:t xml:space="preserve"> </w:t>
      </w:r>
      <w:r>
        <w:rPr>
          <w:rFonts w:ascii="Arial" w:cs="Arial" w:eastAsia="Arial" w:hAnsi="Arial"/>
          <w:sz w:val="18"/>
          <w:szCs w:val="18"/>
          <w:color w:val="222222"/>
        </w:rPr>
        <w:t xml:space="preserve">obligations (by contract or otherwise) that place restrictions on your ability to perform the duties you are expected to perform in the job being offered to you, you have conferred with your own legal counsel regarding those obligations and can assure the Company that you can lawfully perform the job you are being hired to perform. Furthermore, if there are limitations on what you can do for the Company, you have informed the Company of what the limitations (if any) are that you must comply with and have done so without violating any confidentiality or other obligations you may have to prior employers. </w:t>
      </w:r>
      <w:r>
        <w:rPr>
          <w:rFonts w:ascii="Arial" w:cs="Arial" w:eastAsia="Arial" w:hAnsi="Arial"/>
          <w:sz w:val="18"/>
          <w:szCs w:val="18"/>
          <w:color w:val="000000"/>
        </w:rPr>
        <w:t>Similarly, you agree not to bring any third party confidential information to the Company,</w:t>
      </w:r>
      <w:r>
        <w:rPr>
          <w:rFonts w:ascii="Arial" w:cs="Arial" w:eastAsia="Arial" w:hAnsi="Arial"/>
          <w:sz w:val="18"/>
          <w:szCs w:val="18"/>
          <w:color w:val="222222"/>
        </w:rPr>
        <w:t xml:space="preserve"> </w:t>
      </w:r>
      <w:r>
        <w:rPr>
          <w:rFonts w:ascii="Arial" w:cs="Arial" w:eastAsia="Arial" w:hAnsi="Arial"/>
          <w:sz w:val="18"/>
          <w:szCs w:val="18"/>
          <w:color w:val="000000"/>
        </w:rPr>
        <w:t>including that of former employers, and that in performing your duties for the Company you will not in any way utilize any such information.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22222"/>
        </w:rPr>
        <w:t>Additionally, you agree that</w:t>
      </w:r>
      <w:r>
        <w:rPr>
          <w:rFonts w:ascii="Arial" w:cs="Arial" w:eastAsia="Arial" w:hAnsi="Arial"/>
          <w:sz w:val="18"/>
          <w:szCs w:val="18"/>
          <w:color w:val="000000"/>
        </w:rPr>
        <w:t>, during the term of your employment with the Company, you will not engage in any activities that create a conflict</w:t>
      </w:r>
      <w:r>
        <w:rPr>
          <w:rFonts w:ascii="Arial" w:cs="Arial" w:eastAsia="Arial" w:hAnsi="Arial"/>
          <w:sz w:val="18"/>
          <w:szCs w:val="18"/>
          <w:color w:val="222222"/>
        </w:rPr>
        <w:t xml:space="preserve"> </w:t>
      </w:r>
      <w:r>
        <w:rPr>
          <w:rFonts w:ascii="Arial" w:cs="Arial" w:eastAsia="Arial" w:hAnsi="Arial"/>
          <w:sz w:val="18"/>
          <w:szCs w:val="18"/>
          <w:color w:val="000000"/>
        </w:rPr>
        <w:t>of interest such as engaging in self-dealing or engaging in competition with the Company (by becoming employed with, consulting, owning, or otherwise participating in a competing business) without the Company’s prior written approval.</w:t>
      </w:r>
    </w:p>
    <w:p>
      <w:pPr>
        <w:spacing w:after="0" w:line="198" w:lineRule="exact"/>
        <w:rPr>
          <w:sz w:val="20"/>
          <w:szCs w:val="20"/>
          <w:color w:val="auto"/>
        </w:rPr>
      </w:pPr>
    </w:p>
    <w:p>
      <w:pPr>
        <w:ind w:right="20" w:firstLine="8"/>
        <w:spacing w:after="0" w:line="287" w:lineRule="auto"/>
        <w:tabs>
          <w:tab w:leader="none" w:pos="2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Mutual Arbitration Agreement</w:t>
      </w:r>
      <w:r>
        <w:rPr>
          <w:rFonts w:ascii="Arial" w:cs="Arial" w:eastAsia="Arial" w:hAnsi="Arial"/>
          <w:sz w:val="18"/>
          <w:szCs w:val="18"/>
          <w:color w:val="auto"/>
        </w:rPr>
        <w:t>. This offer of employment is also contingent upon you signing the Mutual Arbitration Agreement, which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sent to you prior to your Start Date.</w:t>
      </w:r>
    </w:p>
    <w:p>
      <w:pPr>
        <w:spacing w:after="0" w:line="193" w:lineRule="exact"/>
        <w:rPr>
          <w:rFonts w:ascii="Arial" w:cs="Arial" w:eastAsia="Arial" w:hAnsi="Arial"/>
          <w:sz w:val="18"/>
          <w:szCs w:val="18"/>
          <w:b w:val="1"/>
          <w:bCs w:val="1"/>
          <w:color w:val="auto"/>
        </w:rPr>
      </w:pPr>
    </w:p>
    <w:p>
      <w:pPr>
        <w:ind w:right="20" w:firstLine="8"/>
        <w:spacing w:after="0" w:line="262" w:lineRule="auto"/>
        <w:tabs>
          <w:tab w:leader="none" w:pos="45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Check and Right to Work</w:t>
      </w:r>
      <w:r>
        <w:rPr>
          <w:rFonts w:ascii="Arial" w:cs="Arial" w:eastAsia="Arial" w:hAnsi="Arial"/>
          <w:sz w:val="18"/>
          <w:szCs w:val="18"/>
          <w:color w:val="auto"/>
        </w:rPr>
        <w:t>. This offer, and any subsequent employment, is contingent upon the successful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 background investigation, consistent with applicable law. To comply with immigration laws, you will also be required to provide to the Company documentary evidence of your identity and eligibility for employment in the United States. Such documentation must be provided to us within three (3) business days of your Start Date, or our employment relationship with you may be terminated.</w:t>
      </w:r>
    </w:p>
    <w:p>
      <w:pPr>
        <w:spacing w:after="0" w:line="203" w:lineRule="exact"/>
        <w:rPr>
          <w:rFonts w:ascii="Arial" w:cs="Arial" w:eastAsia="Arial" w:hAnsi="Arial"/>
          <w:sz w:val="18"/>
          <w:szCs w:val="18"/>
          <w:b w:val="1"/>
          <w:bCs w:val="1"/>
          <w:color w:val="auto"/>
        </w:rPr>
      </w:pPr>
    </w:p>
    <w:p>
      <w:pPr>
        <w:ind w:right="40" w:firstLine="8"/>
        <w:spacing w:after="0" w:line="268" w:lineRule="auto"/>
        <w:tabs>
          <w:tab w:leader="none" w:pos="43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at the Company is “at-will.” You may terminate your employment with the Company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any reason whatsoever. Likewise, the Company may terminate your employment at any time and for any reason whatsoever, with or without cause or advance notice.</w:t>
      </w:r>
    </w:p>
    <w:p>
      <w:pPr>
        <w:spacing w:after="0" w:line="211" w:lineRule="exact"/>
        <w:rPr>
          <w:rFonts w:ascii="Arial" w:cs="Arial" w:eastAsia="Arial" w:hAnsi="Arial"/>
          <w:sz w:val="18"/>
          <w:szCs w:val="18"/>
          <w:b w:val="1"/>
          <w:bCs w:val="1"/>
          <w:color w:val="auto"/>
        </w:rPr>
      </w:pPr>
    </w:p>
    <w:p>
      <w:pPr>
        <w:ind w:right="280" w:firstLine="8"/>
        <w:spacing w:after="0" w:line="318" w:lineRule="auto"/>
        <w:tabs>
          <w:tab w:leader="none" w:pos="45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Complete Offer and Agreement</w:t>
      </w:r>
      <w:r>
        <w:rPr>
          <w:rFonts w:ascii="Arial" w:cs="Arial" w:eastAsia="Arial" w:hAnsi="Arial"/>
          <w:sz w:val="17"/>
          <w:szCs w:val="17"/>
          <w:color w:val="auto"/>
        </w:rPr>
        <w:t>. This letter, together with the Protective Covenants Agreement, and Mutual Arbitration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forms the entire understanding and complete statement of your employment with the Company and supersedes any other agreements or</w:t>
      </w:r>
    </w:p>
    <w:p>
      <w:pPr>
        <w:sectPr>
          <w:pgSz w:w="11900" w:h="16838" w:orient="portrait"/>
          <w:cols w:equalWidth="0" w:num="1">
            <w:col w:w="11240"/>
          </w:cols>
          <w:pgMar w:left="320" w:top="1417" w:right="339" w:bottom="1440" w:gutter="0" w:footer="0" w:header="0"/>
        </w:sectPr>
      </w:pPr>
    </w:p>
    <w:bookmarkStart w:id="121" w:name="page122"/>
    <w:bookmarkEnd w:id="121"/>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851660" cy="274320"/>
                    </a:xfrm>
                    <a:prstGeom prst="rect">
                      <a:avLst/>
                    </a:prstGeom>
                    <a:noFill/>
                  </pic:spPr>
                </pic:pic>
              </a:graphicData>
            </a:graphic>
          </wp:anchor>
        </w:drawing>
      </w:r>
    </w:p>
    <w:p>
      <w:pPr>
        <w:spacing w:after="0" w:line="262" w:lineRule="auto"/>
        <w:rPr>
          <w:sz w:val="20"/>
          <w:szCs w:val="20"/>
          <w:color w:val="auto"/>
        </w:rPr>
      </w:pPr>
      <w:r>
        <w:rPr>
          <w:rFonts w:ascii="Arial" w:cs="Arial" w:eastAsia="Arial" w:hAnsi="Arial"/>
          <w:sz w:val="18"/>
          <w:szCs w:val="18"/>
          <w:color w:val="auto"/>
        </w:rPr>
        <w:t>promises made to you by anyone, whether oral or written. Changes to the terms of your employment can be made only in writing and signed by you and an authorized executive of the Company, although it is understood that the Company may, from time to time, in its sole discretion, adjust the salary, incentive compensation and benefits provided to you, as well as job titles, locations, duties, responsibilities, assignments and reporting relationships.</w:t>
      </w:r>
    </w:p>
    <w:p>
      <w:pPr>
        <w:spacing w:after="0" w:line="20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 This offer will remain open until January 12, 2026. To indicate your acceptance, please sign and date this letter.</w:t>
      </w:r>
    </w:p>
    <w:p>
      <w:pPr>
        <w:spacing w:after="0" w:line="266"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Unless and until all offer contingencies have been resolved, including completion of the background investigation, you should not resign from your current employment, otherwise alter your employment status, or alter any personal circumstances in reliance on this conditional offer.</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Patti, I expect you will make a significant contribution to our success and will enjoy a meaningful career here at Marqeta. We very much look forward to your favorable reply.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(Mike) Milotich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Mike Milotich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E2684"/>
        </w:rPr>
        <w:t>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Patti Kangwankij</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Patti Kangwankij</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January 6, 2026</w:t>
      </w:r>
    </w:p>
    <w:p>
      <w:pPr>
        <w:sectPr>
          <w:pgSz w:w="11900" w:h="16838" w:orient="portrait"/>
          <w:cols w:equalWidth="0" w:num="1">
            <w:col w:w="11220"/>
          </w:cols>
          <w:pgMar w:left="320" w:top="1440" w:right="35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27 TO THE MASTER SERVICES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This Amendment No. 27 (“</w:t>
      </w:r>
      <w:r>
        <w:rPr>
          <w:rFonts w:ascii="Arial" w:cs="Arial" w:eastAsia="Arial" w:hAnsi="Arial"/>
          <w:sz w:val="19"/>
          <w:szCs w:val="19"/>
          <w:b w:val="1"/>
          <w:bCs w:val="1"/>
          <w:color w:val="auto"/>
        </w:rPr>
        <w:t>Amendment</w:t>
      </w:r>
      <w:r>
        <w:rPr>
          <w:rFonts w:ascii="Arial" w:cs="Arial" w:eastAsia="Arial" w:hAnsi="Arial"/>
          <w:sz w:val="19"/>
          <w:szCs w:val="19"/>
          <w:color w:val="auto"/>
        </w:rPr>
        <w:t>”) is dated and effective on January 22, 2026 (“</w:t>
      </w:r>
      <w:r>
        <w:rPr>
          <w:rFonts w:ascii="Arial" w:cs="Arial" w:eastAsia="Arial" w:hAnsi="Arial"/>
          <w:sz w:val="19"/>
          <w:szCs w:val="19"/>
          <w:b w:val="1"/>
          <w:bCs w:val="1"/>
          <w:color w:val="auto"/>
        </w:rPr>
        <w:t>Amendment Effective Date</w:t>
      </w:r>
      <w:r>
        <w:rPr>
          <w:rFonts w:ascii="Arial" w:cs="Arial" w:eastAsia="Arial" w:hAnsi="Arial"/>
          <w:sz w:val="19"/>
          <w:szCs w:val="19"/>
          <w:color w:val="auto"/>
        </w:rPr>
        <w:t>”) by and between Marqeta, Inc. (“</w:t>
      </w:r>
      <w:r>
        <w:rPr>
          <w:rFonts w:ascii="Arial" w:cs="Arial" w:eastAsia="Arial" w:hAnsi="Arial"/>
          <w:sz w:val="19"/>
          <w:szCs w:val="19"/>
          <w:b w:val="1"/>
          <w:bCs w:val="1"/>
          <w:color w:val="auto"/>
        </w:rPr>
        <w:t>Marqeta</w:t>
      </w:r>
      <w:r>
        <w:rPr>
          <w:rFonts w:ascii="Arial" w:cs="Arial" w:eastAsia="Arial" w:hAnsi="Arial"/>
          <w:sz w:val="19"/>
          <w:szCs w:val="19"/>
          <w:color w:val="auto"/>
        </w:rPr>
        <w:t>”) and Block, Inc. (formerly Square, Inc.) (“</w:t>
      </w:r>
      <w:r>
        <w:rPr>
          <w:rFonts w:ascii="Arial" w:cs="Arial" w:eastAsia="Arial" w:hAnsi="Arial"/>
          <w:sz w:val="19"/>
          <w:szCs w:val="19"/>
          <w:b w:val="1"/>
          <w:bCs w:val="1"/>
          <w:color w:val="auto"/>
        </w:rPr>
        <w:t>Block</w:t>
      </w:r>
      <w:r>
        <w:rPr>
          <w:rFonts w:ascii="Arial" w:cs="Arial" w:eastAsia="Arial" w:hAnsi="Arial"/>
          <w:sz w:val="19"/>
          <w:szCs w:val="19"/>
          <w:color w:val="auto"/>
        </w:rPr>
        <w:t>” or “</w:t>
      </w:r>
      <w:r>
        <w:rPr>
          <w:rFonts w:ascii="Arial" w:cs="Arial" w:eastAsia="Arial" w:hAnsi="Arial"/>
          <w:sz w:val="19"/>
          <w:szCs w:val="19"/>
          <w:b w:val="1"/>
          <w:bCs w:val="1"/>
          <w:color w:val="auto"/>
        </w:rPr>
        <w:t>Client</w:t>
      </w:r>
      <w:r>
        <w:rPr>
          <w:rFonts w:ascii="Arial" w:cs="Arial" w:eastAsia="Arial" w:hAnsi="Arial"/>
          <w:sz w:val="19"/>
          <w:szCs w:val="19"/>
          <w:color w:val="auto"/>
        </w:rPr>
        <w:t>”) and amends the Master Services Agreement between Client and Marqeta dated April 19, 2016, as amended (“</w:t>
      </w:r>
      <w:r>
        <w:rPr>
          <w:rFonts w:ascii="Arial" w:cs="Arial" w:eastAsia="Arial" w:hAnsi="Arial"/>
          <w:sz w:val="19"/>
          <w:szCs w:val="19"/>
          <w:b w:val="1"/>
          <w:bCs w:val="1"/>
          <w:color w:val="auto"/>
        </w:rPr>
        <w:t>Master Services Agreement</w:t>
      </w:r>
      <w:r>
        <w:rPr>
          <w:rFonts w:ascii="Arial" w:cs="Arial" w:eastAsia="Arial" w:hAnsi="Arial"/>
          <w:sz w:val="19"/>
          <w:szCs w:val="19"/>
          <w:color w:val="auto"/>
        </w:rPr>
        <w:t xml:space="preserve">”). Capitalized terms used in this Amendment without definition shall have the meanings ascribed to them in the Master Services Agreement. This Amendment, including the document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incorporated herein by reference, is made pursuant to and governed by the terms and conditions of the Master Services Agreement. Except as expressly provided herein, the provisions of the Master Services Agreement shall apply to this Amendment and shall govern the rights and obligations of the</w:t>
      </w:r>
    </w:p>
    <w:p>
      <w:pPr>
        <w:spacing w:after="0" w:line="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Parties with respect to the subject matter hereof. Marqeta and Block are each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Client and Marqeta wish to amend the Master Services Agreement in connection with the provision of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to the Cash App Card Program regarding roles and responsibilities between Marqeta and Block in support of the Cash App Card Program currently and going forward.</w:t>
      </w:r>
    </w:p>
    <w:p>
      <w:pPr>
        <w:spacing w:after="0" w:line="162"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sufficiency of which are hereby acknowledged,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agree that the following terms shall be made part of the Master Services Agreement.</w:t>
      </w:r>
    </w:p>
    <w:p>
      <w:pPr>
        <w:spacing w:after="0" w:line="152" w:lineRule="exact"/>
        <w:rPr>
          <w:sz w:val="20"/>
          <w:szCs w:val="20"/>
          <w:color w:val="auto"/>
        </w:rPr>
      </w:pPr>
    </w:p>
    <w:p>
      <w:pPr>
        <w:ind w:firstLine="8"/>
        <w:spacing w:after="0" w:line="271" w:lineRule="auto"/>
        <w:tabs>
          <w:tab w:leader="none" w:pos="423"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Master Services Agreement at Schedule B, titled “General Terms and Conditions” is hereby amended at Section 1 as follows:</w:t>
      </w:r>
    </w:p>
    <w:p>
      <w:pPr>
        <w:spacing w:after="0" w:line="167" w:lineRule="exact"/>
        <w:rPr>
          <w:rFonts w:ascii="Arial" w:cs="Arial" w:eastAsia="Arial" w:hAnsi="Arial"/>
          <w:sz w:val="20"/>
          <w:szCs w:val="20"/>
          <w:color w:val="auto"/>
        </w:rPr>
      </w:pPr>
    </w:p>
    <w:p>
      <w:pPr>
        <w:ind w:firstLine="324"/>
        <w:spacing w:after="0" w:line="274" w:lineRule="auto"/>
        <w:tabs>
          <w:tab w:leader="none" w:pos="571" w:val="left"/>
        </w:tabs>
        <w:numPr>
          <w:ilvl w:val="1"/>
          <w:numId w:val="57"/>
        </w:numPr>
        <w:rPr>
          <w:rFonts w:ascii="Arial" w:cs="Arial" w:eastAsia="Arial" w:hAnsi="Arial"/>
          <w:sz w:val="20"/>
          <w:szCs w:val="20"/>
          <w:color w:val="auto"/>
        </w:rPr>
      </w:pPr>
      <w:r>
        <w:rPr>
          <w:rFonts w:ascii="Arial" w:cs="Arial" w:eastAsia="Arial" w:hAnsi="Arial"/>
          <w:sz w:val="20"/>
          <w:szCs w:val="20"/>
          <w:color w:val="auto"/>
        </w:rPr>
        <w:t>At Section 1, titled “</w:t>
      </w:r>
      <w:r>
        <w:rPr>
          <w:rFonts w:ascii="Arial" w:cs="Arial" w:eastAsia="Arial" w:hAnsi="Arial"/>
          <w:sz w:val="20"/>
          <w:szCs w:val="20"/>
          <w:b w:val="1"/>
          <w:bCs w:val="1"/>
          <w:color w:val="auto"/>
        </w:rPr>
        <w:t>MARQETA PERFORMANCE STANDARDS AND COMPLIANCE</w:t>
      </w:r>
      <w:r>
        <w:rPr>
          <w:rFonts w:ascii="Arial" w:cs="Arial" w:eastAsia="Arial" w:hAnsi="Arial"/>
          <w:sz w:val="20"/>
          <w:szCs w:val="20"/>
          <w:color w:val="auto"/>
        </w:rPr>
        <w:t>”, a new subsection (h) is hereby added:</w:t>
      </w:r>
    </w:p>
    <w:p>
      <w:pPr>
        <w:spacing w:after="0" w:line="163" w:lineRule="exact"/>
        <w:rPr>
          <w:sz w:val="20"/>
          <w:szCs w:val="20"/>
          <w:color w:val="auto"/>
        </w:rPr>
      </w:pPr>
    </w:p>
    <w:p>
      <w:pPr>
        <w:ind w:firstLine="371"/>
        <w:spacing w:after="0" w:line="274" w:lineRule="auto"/>
        <w:rPr>
          <w:sz w:val="20"/>
          <w:szCs w:val="20"/>
          <w:color w:val="auto"/>
        </w:rPr>
      </w:pPr>
      <w:r>
        <w:rPr>
          <w:rFonts w:ascii="Arial" w:cs="Arial" w:eastAsia="Arial" w:hAnsi="Arial"/>
          <w:sz w:val="20"/>
          <w:szCs w:val="20"/>
          <w:color w:val="auto"/>
        </w:rPr>
        <w:t xml:space="preserve">“e. </w:t>
      </w:r>
      <w:r>
        <w:rPr>
          <w:rFonts w:ascii="Arial" w:cs="Arial" w:eastAsia="Arial" w:hAnsi="Arial"/>
          <w:sz w:val="20"/>
          <w:szCs w:val="20"/>
          <w:b w:val="1"/>
          <w:bCs w:val="1"/>
          <w:color w:val="auto"/>
        </w:rPr>
        <w:t>Roles and Responsibilities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reflects the allocation of Marqeta’s roles and responsibilities between the Parties.”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20"/>
          <w:szCs w:val="20"/>
          <w:color w:val="auto"/>
        </w:rPr>
        <w:t>(ii) At Section 2, titled “CLIENT RESPONSIBILITIES”, a new subsection (q) is hereby added:</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 xml:space="preserve">“q. </w:t>
      </w:r>
      <w:r>
        <w:rPr>
          <w:rFonts w:ascii="Arial" w:cs="Arial" w:eastAsia="Arial" w:hAnsi="Arial"/>
          <w:sz w:val="20"/>
          <w:szCs w:val="20"/>
          <w:b w:val="1"/>
          <w:bCs w:val="1"/>
          <w:color w:val="auto"/>
        </w:rPr>
        <w:t>Roles and Responsibilities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reflects the allocation of Client’s roles and responsibilities between the Parties.”</w:t>
      </w:r>
    </w:p>
    <w:p>
      <w:pPr>
        <w:spacing w:after="0" w:line="216" w:lineRule="exact"/>
        <w:rPr>
          <w:sz w:val="20"/>
          <w:szCs w:val="20"/>
          <w:color w:val="auto"/>
        </w:rPr>
      </w:pPr>
    </w:p>
    <w:p>
      <w:pPr>
        <w:ind w:left="540" w:hanging="312"/>
        <w:spacing w:after="0"/>
        <w:tabs>
          <w:tab w:leader="none" w:pos="540"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Schedule B-1</w:t>
      </w:r>
      <w:r>
        <w:rPr>
          <w:rFonts w:ascii="Arial" w:cs="Arial" w:eastAsia="Arial" w:hAnsi="Arial"/>
          <w:sz w:val="20"/>
          <w:szCs w:val="20"/>
          <w:color w:val="auto"/>
        </w:rPr>
        <w:t>, “</w:t>
      </w:r>
      <w:r>
        <w:rPr>
          <w:rFonts w:ascii="Arial" w:cs="Arial" w:eastAsia="Arial" w:hAnsi="Arial"/>
          <w:sz w:val="20"/>
          <w:szCs w:val="20"/>
          <w:b w:val="1"/>
          <w:bCs w:val="1"/>
          <w:color w:val="auto"/>
        </w:rPr>
        <w:t>Roles &amp; Responsibilities</w:t>
      </w:r>
      <w:r>
        <w:rPr>
          <w:rFonts w:ascii="Arial" w:cs="Arial" w:eastAsia="Arial" w:hAnsi="Arial"/>
          <w:sz w:val="20"/>
          <w:szCs w:val="20"/>
          <w:color w:val="auto"/>
        </w:rPr>
        <w:t>”, attached hereto is appended to the Master Services Agreement.</w:t>
      </w:r>
    </w:p>
    <w:p>
      <w:pPr>
        <w:spacing w:after="0" w:line="231" w:lineRule="exact"/>
        <w:rPr>
          <w:rFonts w:ascii="Arial" w:cs="Arial" w:eastAsia="Arial" w:hAnsi="Arial"/>
          <w:sz w:val="20"/>
          <w:szCs w:val="20"/>
          <w:color w:val="auto"/>
        </w:rPr>
      </w:pPr>
    </w:p>
    <w:p>
      <w:pPr>
        <w:ind w:left="380" w:hanging="372"/>
        <w:spacing w:after="0"/>
        <w:tabs>
          <w:tab w:leader="none" w:pos="3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Master Services Agreement at Schedule C, titled “Definitions”, is hereby amended to add the following definitions:</w:t>
      </w:r>
    </w:p>
    <w:p>
      <w:pPr>
        <w:spacing w:after="0" w:line="214" w:lineRule="exact"/>
        <w:rPr>
          <w:sz w:val="20"/>
          <w:szCs w:val="20"/>
          <w:color w:val="auto"/>
        </w:rPr>
      </w:pPr>
    </w:p>
    <w:p>
      <w:pPr>
        <w:ind w:left="660" w:hanging="328"/>
        <w:spacing w:after="0" w:line="288" w:lineRule="auto"/>
        <w:tabs>
          <w:tab w:leader="none" w:pos="688" w:val="left"/>
        </w:tabs>
        <w:numPr>
          <w:ilvl w:val="0"/>
          <w:numId w:val="60"/>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“BSA” </w:t>
      </w:r>
      <w:r>
        <w:rPr>
          <w:rFonts w:ascii="Arial" w:cs="Arial" w:eastAsia="Arial" w:hAnsi="Arial"/>
          <w:sz w:val="20"/>
          <w:szCs w:val="20"/>
          <w:color w:val="auto"/>
        </w:rPr>
        <w:t>means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Bank Secrecy Act</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implementing regulations, including anti-money laundering, customer</w:t>
      </w:r>
      <w:r>
        <w:rPr>
          <w:rFonts w:ascii="Arial" w:cs="Arial" w:eastAsia="Arial" w:hAnsi="Arial"/>
          <w:sz w:val="20"/>
          <w:szCs w:val="20"/>
          <w:b w:val="1"/>
          <w:bCs w:val="1"/>
          <w:color w:val="auto"/>
        </w:rPr>
        <w:t xml:space="preserve"> </w:t>
      </w:r>
      <w:r>
        <w:rPr>
          <w:rFonts w:ascii="Arial" w:cs="Arial" w:eastAsia="Arial" w:hAnsi="Arial"/>
          <w:sz w:val="20"/>
          <w:szCs w:val="20"/>
          <w:color w:val="auto"/>
        </w:rPr>
        <w:t>identification, and suspicious activity reporting requirements.</w:t>
      </w:r>
    </w:p>
    <w:p>
      <w:pPr>
        <w:sectPr>
          <w:pgSz w:w="11900" w:h="16838" w:orient="portrait"/>
          <w:cols w:equalWidth="0" w:num="1">
            <w:col w:w="11240"/>
          </w:cols>
          <w:pgMar w:left="320" w:top="131" w:right="339" w:bottom="1440" w:gutter="0" w:footer="0" w:header="0"/>
        </w:sectPr>
      </w:pPr>
    </w:p>
    <w:bookmarkStart w:id="123" w:name="page124"/>
    <w:bookmarkEnd w:id="123"/>
    <w:p>
      <w:pPr>
        <w:ind w:left="660" w:right="20" w:hanging="328"/>
        <w:spacing w:after="0" w:line="256" w:lineRule="auto"/>
        <w:tabs>
          <w:tab w:leader="none" w:pos="661"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BIN</w:t>
      </w:r>
      <w:r>
        <w:rPr>
          <w:rFonts w:ascii="Arial" w:cs="Arial" w:eastAsia="Arial" w:hAnsi="Arial"/>
          <w:sz w:val="20"/>
          <w:szCs w:val="20"/>
          <w:color w:val="auto"/>
        </w:rPr>
        <w:t xml:space="preserve">” means a </w:t>
      </w:r>
      <w:r>
        <w:rPr>
          <w:rFonts w:ascii="Arial" w:cs="Arial" w:eastAsia="Arial" w:hAnsi="Arial"/>
          <w:sz w:val="20"/>
          <w:szCs w:val="20"/>
          <w:i w:val="1"/>
          <w:iCs w:val="1"/>
          <w:color w:val="auto"/>
        </w:rPr>
        <w:t>Bank Identification Number</w:t>
      </w:r>
      <w:r>
        <w:rPr>
          <w:rFonts w:ascii="Arial" w:cs="Arial" w:eastAsia="Arial" w:hAnsi="Arial"/>
          <w:sz w:val="20"/>
          <w:szCs w:val="20"/>
          <w:color w:val="auto"/>
        </w:rPr>
        <w:t xml:space="preserve"> assigned by a Card Brand that identifies the Issuing Bank and is used to route payment card transactions under the Cash App Card Program.</w:t>
      </w:r>
    </w:p>
    <w:p>
      <w:pPr>
        <w:spacing w:after="0" w:line="1" w:lineRule="exact"/>
        <w:rPr>
          <w:rFonts w:ascii="Times New Roman" w:cs="Times New Roman" w:eastAsia="Times New Roman" w:hAnsi="Times New Roman"/>
          <w:sz w:val="18"/>
          <w:szCs w:val="18"/>
          <w:color w:val="auto"/>
        </w:rPr>
      </w:pPr>
    </w:p>
    <w:p>
      <w:pPr>
        <w:ind w:left="660" w:hanging="328"/>
        <w:spacing w:after="0" w:line="246" w:lineRule="auto"/>
        <w:tabs>
          <w:tab w:leader="none" w:pos="661"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Cardholder Agreement</w:t>
      </w:r>
      <w:r>
        <w:rPr>
          <w:rFonts w:ascii="Arial" w:cs="Arial" w:eastAsia="Arial" w:hAnsi="Arial"/>
          <w:sz w:val="20"/>
          <w:szCs w:val="20"/>
          <w:color w:val="auto"/>
        </w:rPr>
        <w:t>” means the agreement between the Issuing Bank and a Cardholder governing the terms and conditions applicable to the use of a Cash App Card.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47"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App Card Program</w:t>
      </w:r>
      <w:r>
        <w:rPr>
          <w:rFonts w:ascii="Arial" w:cs="Arial" w:eastAsia="Arial" w:hAnsi="Arial"/>
          <w:sz w:val="20"/>
          <w:szCs w:val="20"/>
          <w:color w:val="auto"/>
        </w:rPr>
        <w:t>” means the consumer-facing card program operated by Client and issued by and under the principal oversight and control of Sutton Bank, under which Client utilizes Marqeta’s services pursuant to the Master Services Agreement. Each card issued to an end user under the Cash App Card Program is referred to herein as a “</w:t>
      </w:r>
      <w:r>
        <w:rPr>
          <w:rFonts w:ascii="Arial" w:cs="Arial" w:eastAsia="Arial" w:hAnsi="Arial"/>
          <w:sz w:val="20"/>
          <w:szCs w:val="20"/>
          <w:b w:val="1"/>
          <w:bCs w:val="1"/>
          <w:color w:val="auto"/>
        </w:rPr>
        <w:t>Cash App Card</w:t>
      </w:r>
      <w:r>
        <w:rPr>
          <w:rFonts w:ascii="Arial" w:cs="Arial" w:eastAsia="Arial" w:hAnsi="Arial"/>
          <w:sz w:val="20"/>
          <w:szCs w:val="20"/>
          <w:color w:val="auto"/>
        </w:rPr>
        <w:t>”.</w:t>
      </w:r>
    </w:p>
    <w:p>
      <w:pPr>
        <w:jc w:val="both"/>
        <w:ind w:left="660" w:hanging="328"/>
        <w:spacing w:after="0" w:line="248" w:lineRule="auto"/>
        <w:tabs>
          <w:tab w:leader="none" w:pos="647"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CIP</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Customer Identification Program</w:t>
      </w:r>
      <w:r>
        <w:rPr>
          <w:rFonts w:ascii="Arial" w:cs="Arial" w:eastAsia="Arial" w:hAnsi="Arial"/>
          <w:sz w:val="20"/>
          <w:szCs w:val="20"/>
          <w:color w:val="auto"/>
        </w:rPr>
        <w:t xml:space="preserve"> procedures for collecting and verifying customer identity information as required under the USA PATRIOT Act and the requirements of the Issuing Bank, performed by Client on behalf of the Issuing Bank.</w:t>
      </w:r>
    </w:p>
    <w:p>
      <w:pPr>
        <w:spacing w:after="0" w:line="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Issuing Bank</w:t>
      </w:r>
      <w:r>
        <w:rPr>
          <w:rFonts w:ascii="Arial" w:cs="Arial" w:eastAsia="Arial" w:hAnsi="Arial"/>
          <w:sz w:val="20"/>
          <w:szCs w:val="20"/>
          <w:color w:val="auto"/>
        </w:rPr>
        <w:t>” means Sutton Bank, in its capacity as the issuer of Cards under the Cash App Card Program.</w:t>
      </w:r>
    </w:p>
    <w:p>
      <w:pPr>
        <w:ind w:left="660" w:hanging="328"/>
        <w:spacing w:after="0" w:line="246" w:lineRule="auto"/>
        <w:tabs>
          <w:tab w:leader="none" w:pos="647"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KYC</w:t>
      </w:r>
      <w:r>
        <w:rPr>
          <w:rFonts w:ascii="Arial" w:cs="Arial" w:eastAsia="Arial" w:hAnsi="Arial"/>
          <w:sz w:val="20"/>
          <w:szCs w:val="20"/>
          <w:color w:val="auto"/>
        </w:rPr>
        <w:t xml:space="preserve">” means </w:t>
      </w:r>
      <w:r>
        <w:rPr>
          <w:rFonts w:ascii="Arial" w:cs="Arial" w:eastAsia="Arial" w:hAnsi="Arial"/>
          <w:sz w:val="20"/>
          <w:szCs w:val="20"/>
          <w:i w:val="1"/>
          <w:iCs w:val="1"/>
          <w:color w:val="auto"/>
        </w:rPr>
        <w:t>Know Your Customer</w:t>
      </w:r>
      <w:r>
        <w:rPr>
          <w:rFonts w:ascii="Arial" w:cs="Arial" w:eastAsia="Arial" w:hAnsi="Arial"/>
          <w:sz w:val="20"/>
          <w:szCs w:val="20"/>
          <w:color w:val="auto"/>
        </w:rPr>
        <w:t xml:space="preserve"> procedures for identifying and verifying the identity of customers in accordance with applicable law and the requirements of the Issuing Bank, performed by Client on behalf of the Issuing Bank.</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8" w:lineRule="auto"/>
        <w:tabs>
          <w:tab w:leader="none" w:pos="647"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PAN</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Primary Account Number</w:t>
      </w:r>
      <w:r>
        <w:rPr>
          <w:rFonts w:ascii="Arial" w:cs="Arial" w:eastAsia="Arial" w:hAnsi="Arial"/>
          <w:sz w:val="20"/>
          <w:szCs w:val="20"/>
          <w:color w:val="auto"/>
        </w:rPr>
        <w:t xml:space="preserve"> associated with a Cash App Card, consisting of the numeric sequence used to identify the cardholder account, including the Bank Identification Number (BIN), and used to initiate and process card transactions in accordance with Card Brand standards.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48" w:lineRule="auto"/>
        <w:tabs>
          <w:tab w:leader="none" w:pos="688"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Scheduled Maintenance</w:t>
      </w:r>
      <w:r>
        <w:rPr>
          <w:rFonts w:ascii="Arial" w:cs="Arial" w:eastAsia="Arial" w:hAnsi="Arial"/>
          <w:sz w:val="20"/>
          <w:szCs w:val="20"/>
          <w:color w:val="auto"/>
        </w:rPr>
        <w:t>” means planned maintenance or upgrades to the Marqeta System intended to support ongoing system performance and reliability that may result in system downtime and that are communicated to Client in advance.</w:t>
      </w:r>
    </w:p>
    <w:p>
      <w:pPr>
        <w:spacing w:after="0" w:line="2" w:lineRule="exact"/>
        <w:rPr>
          <w:rFonts w:ascii="Times New Roman" w:cs="Times New Roman" w:eastAsia="Times New Roman" w:hAnsi="Times New Roman"/>
          <w:sz w:val="18"/>
          <w:szCs w:val="18"/>
          <w:color w:val="auto"/>
        </w:rPr>
      </w:pPr>
    </w:p>
    <w:p>
      <w:pPr>
        <w:ind w:left="660" w:hanging="328"/>
        <w:spacing w:after="0" w:line="253" w:lineRule="auto"/>
        <w:tabs>
          <w:tab w:leader="none" w:pos="647" w:val="left"/>
        </w:tabs>
        <w:numPr>
          <w:ilvl w:val="1"/>
          <w:numId w:val="61"/>
        </w:numPr>
        <w:rPr>
          <w:rFonts w:ascii="Times New Roman" w:cs="Times New Roman" w:eastAsia="Times New Roman" w:hAnsi="Times New Roman"/>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Terms of Service</w:t>
      </w:r>
      <w:r>
        <w:rPr>
          <w:rFonts w:ascii="Arial" w:cs="Arial" w:eastAsia="Arial" w:hAnsi="Arial"/>
          <w:sz w:val="20"/>
          <w:szCs w:val="20"/>
          <w:color w:val="auto"/>
        </w:rPr>
        <w:t>” means the Client-issued terms and conditions governing the use of the Cash App Card and related services.</w:t>
      </w:r>
    </w:p>
    <w:p>
      <w:pPr>
        <w:spacing w:after="0" w:line="185" w:lineRule="exact"/>
        <w:rPr>
          <w:rFonts w:ascii="Times New Roman" w:cs="Times New Roman" w:eastAsia="Times New Roman" w:hAnsi="Times New Roman"/>
          <w:sz w:val="18"/>
          <w:szCs w:val="18"/>
          <w:color w:val="auto"/>
        </w:rPr>
      </w:pPr>
    </w:p>
    <w:p>
      <w:pPr>
        <w:jc w:val="both"/>
        <w:ind w:firstLine="8"/>
        <w:spacing w:after="0" w:line="259" w:lineRule="auto"/>
        <w:tabs>
          <w:tab w:leader="none" w:pos="464"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This Amendment and the Master Services Agreement set forth the Parties’ entire agreement with respect to the subject matter of this Amendment. This Amendment incorporates by reference the terms of the Master Services Agreement as if fully set forth in this Amendment, and the specific terms and conditions in this Amendment govern, control, and supersede the Master Services Agreement solely with respect to the subject matters covered in this Amendment.</w:t>
      </w:r>
    </w:p>
    <w:p>
      <w:pPr>
        <w:spacing w:after="0" w:line="168" w:lineRule="exact"/>
        <w:rPr>
          <w:rFonts w:ascii="Arial" w:cs="Arial" w:eastAsia="Arial" w:hAnsi="Arial"/>
          <w:sz w:val="20"/>
          <w:szCs w:val="20"/>
          <w:color w:val="auto"/>
        </w:rPr>
      </w:pPr>
    </w:p>
    <w:p>
      <w:pPr>
        <w:ind w:left="380" w:hanging="372"/>
        <w:spacing w:after="0"/>
        <w:tabs>
          <w:tab w:leader="none" w:pos="3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This Amendment may be executed by the Parties electronically and in counterparts.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240"/>
          </w:cols>
          <w:pgMar w:left="320" w:top="1412" w:right="3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Marqeta, Inc.</w:t>
      </w:r>
    </w:p>
    <w:p>
      <w:pPr>
        <w:spacing w:after="0" w:line="23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By:</w:t>
        <w:tab/>
        <w:t>/s/ Todd Pollak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-11430</wp:posOffset>
            </wp:positionV>
            <wp:extent cx="15151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spacing w:after="0" w:line="196"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Todd Pollak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-11430</wp:posOffset>
            </wp:positionV>
            <wp:extent cx="13455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Title:</w:t>
        <w:tab/>
        <w:t>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-4445</wp:posOffset>
            </wp:positionV>
            <wp:extent cx="17919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Date:</w:t>
        <w:tab/>
        <w:t>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-11430</wp:posOffset>
            </wp:positionV>
            <wp:extent cx="1529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Block, Inc.</w:t>
      </w:r>
    </w:p>
    <w:p>
      <w:pPr>
        <w:spacing w:after="0" w:line="23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-11430</wp:posOffset>
            </wp:positionV>
            <wp:extent cx="10541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96"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-11430</wp:posOffset>
            </wp:positionV>
            <wp:extent cx="10541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-11430</wp:posOffset>
            </wp:positionV>
            <wp:extent cx="10541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Date:</w:t>
        <w:tab/>
        <w:t>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-11430</wp:posOffset>
            </wp:positionV>
            <wp:extent cx="15290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B-1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ROLES AND RESPONSIBILITIES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440"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TENTH AMENDMENT TO THE AMENDED AND RESTATED PREPAID CARD PROGRAM MANAGER AGREEMENT</w:t>
      </w:r>
    </w:p>
    <w:p>
      <w:pPr>
        <w:spacing w:after="0" w:line="162" w:lineRule="exact"/>
        <w:rPr>
          <w:sz w:val="20"/>
          <w:szCs w:val="20"/>
          <w:color w:val="auto"/>
        </w:rPr>
      </w:pPr>
    </w:p>
    <w:p>
      <w:pPr>
        <w:jc w:val="both"/>
        <w:ind w:firstLine="209"/>
        <w:spacing w:after="0" w:line="270" w:lineRule="auto"/>
        <w:rPr>
          <w:sz w:val="20"/>
          <w:szCs w:val="20"/>
          <w:color w:val="auto"/>
        </w:rPr>
      </w:pPr>
      <w:r>
        <w:rPr>
          <w:rFonts w:ascii="Times New Roman" w:cs="Times New Roman" w:eastAsia="Times New Roman" w:hAnsi="Times New Roman"/>
          <w:sz w:val="20"/>
          <w:szCs w:val="20"/>
          <w:color w:val="auto"/>
        </w:rPr>
        <w:t>This Tenth Amendment to the Amended and Restated Prepaid Card Program Manager Agreement (this “</w:t>
      </w:r>
      <w:r>
        <w:rPr>
          <w:rFonts w:ascii="Times New Roman" w:cs="Times New Roman" w:eastAsia="Times New Roman" w:hAnsi="Times New Roman"/>
          <w:sz w:val="20"/>
          <w:szCs w:val="20"/>
          <w:b w:val="1"/>
          <w:bCs w:val="1"/>
          <w:color w:val="auto"/>
        </w:rPr>
        <w:t>Tenth Amendment</w:t>
      </w:r>
      <w:r>
        <w:rPr>
          <w:rFonts w:ascii="Times New Roman" w:cs="Times New Roman" w:eastAsia="Times New Roman" w:hAnsi="Times New Roman"/>
          <w:sz w:val="20"/>
          <w:szCs w:val="20"/>
          <w:color w:val="auto"/>
        </w:rPr>
        <w:t>”) is effective as of January 15, 2026 (the “</w:t>
      </w:r>
      <w:r>
        <w:rPr>
          <w:rFonts w:ascii="Times New Roman" w:cs="Times New Roman" w:eastAsia="Times New Roman" w:hAnsi="Times New Roman"/>
          <w:sz w:val="20"/>
          <w:szCs w:val="20"/>
          <w:b w:val="1"/>
          <w:bCs w:val="1"/>
          <w:color w:val="auto"/>
        </w:rPr>
        <w:t>Tenth Amendment Effective Date”</w:t>
      </w:r>
      <w:r>
        <w:rPr>
          <w:rFonts w:ascii="Times New Roman" w:cs="Times New Roman" w:eastAsia="Times New Roman" w:hAnsi="Times New Roman"/>
          <w:sz w:val="20"/>
          <w:szCs w:val="20"/>
          <w:color w:val="auto"/>
        </w:rPr>
        <w:t>), by and between Sutton Bank and Marqeta, Inc. (“</w:t>
      </w:r>
      <w:r>
        <w:rPr>
          <w:rFonts w:ascii="Times New Roman" w:cs="Times New Roman" w:eastAsia="Times New Roman" w:hAnsi="Times New Roman"/>
          <w:sz w:val="20"/>
          <w:szCs w:val="20"/>
          <w:b w:val="1"/>
          <w:bCs w:val="1"/>
          <w:color w:val="auto"/>
        </w:rPr>
        <w:t>Manager</w:t>
      </w:r>
      <w:r>
        <w:rPr>
          <w:rFonts w:ascii="Times New Roman" w:cs="Times New Roman" w:eastAsia="Times New Roman" w:hAnsi="Times New Roman"/>
          <w:sz w:val="20"/>
          <w:szCs w:val="20"/>
          <w:color w:val="auto"/>
        </w:rPr>
        <w:t>”). Each of Manager and Sutton Bank may be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05" w:lineRule="exact"/>
        <w:rPr>
          <w:sz w:val="20"/>
          <w:szCs w:val="20"/>
          <w:color w:val="auto"/>
        </w:rPr>
      </w:pPr>
    </w:p>
    <w:p>
      <w:pPr>
        <w:jc w:val="both"/>
        <w:ind w:firstLine="210"/>
        <w:spacing w:after="0" w:line="275" w:lineRule="auto"/>
        <w:rPr>
          <w:sz w:val="20"/>
          <w:szCs w:val="20"/>
          <w:color w:val="auto"/>
        </w:rPr>
      </w:pPr>
      <w:r>
        <w:rPr>
          <w:rFonts w:ascii="Times New Roman" w:cs="Times New Roman" w:eastAsia="Times New Roman" w:hAnsi="Times New Roman"/>
          <w:sz w:val="20"/>
          <w:szCs w:val="20"/>
          <w:color w:val="auto"/>
        </w:rPr>
        <w:t>WHEREAS, the Parties executed and delivered that certain Amended and Restated Prepaid Card Program Manager Agreement, originally dated April 1, 2016, and amended from time to time (collectively, with all amendments, addendums, and attachments thereto,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1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WHEREAS, the Parties wish to amend the Agreement in the manner set forth herein;</w:t>
      </w:r>
    </w:p>
    <w:p>
      <w:pPr>
        <w:spacing w:after="0" w:line="162" w:lineRule="exact"/>
        <w:rPr>
          <w:sz w:val="20"/>
          <w:szCs w:val="20"/>
          <w:color w:val="auto"/>
        </w:rPr>
      </w:pPr>
    </w:p>
    <w:p>
      <w:pPr>
        <w:jc w:val="both"/>
        <w:ind w:firstLine="278"/>
        <w:spacing w:after="0" w:line="283" w:lineRule="auto"/>
        <w:rPr>
          <w:sz w:val="20"/>
          <w:szCs w:val="20"/>
          <w:color w:val="auto"/>
        </w:rPr>
      </w:pPr>
      <w:r>
        <w:rPr>
          <w:rFonts w:ascii="Times New Roman" w:cs="Times New Roman" w:eastAsia="Times New Roman" w:hAnsi="Times New Roman"/>
          <w:sz w:val="20"/>
          <w:szCs w:val="20"/>
          <w:color w:val="auto"/>
        </w:rPr>
        <w:t>WHEREAS, pursuant to Section 12.3 of the Agreement (Entire Agreement; Amendments of the Agreement), the desired amendments must be contained in a written agreement signed by the Parties.</w:t>
      </w:r>
    </w:p>
    <w:p>
      <w:pPr>
        <w:spacing w:after="0" w:line="92" w:lineRule="exact"/>
        <w:rPr>
          <w:sz w:val="20"/>
          <w:szCs w:val="20"/>
          <w:color w:val="auto"/>
        </w:rPr>
      </w:pPr>
    </w:p>
    <w:p>
      <w:pPr>
        <w:jc w:val="both"/>
        <w:ind w:firstLine="234"/>
        <w:spacing w:after="0" w:line="275" w:lineRule="auto"/>
        <w:rPr>
          <w:sz w:val="20"/>
          <w:szCs w:val="20"/>
          <w:color w:val="auto"/>
        </w:rPr>
      </w:pPr>
      <w:r>
        <w:rPr>
          <w:rFonts w:ascii="Times New Roman" w:cs="Times New Roman" w:eastAsia="Times New Roman" w:hAnsi="Times New Roman"/>
          <w:sz w:val="20"/>
          <w:szCs w:val="20"/>
          <w:color w:val="auto"/>
        </w:rPr>
        <w:t>NOW THEREFORE, in consideration of the mutual covenants, agreements and promises contained herein, the receipt and sufficiency of which are hereby acknowledged, and intending to be legally bound, the Parties hereto for themselves and each of their successors and assigns, do hereby agree as follows:</w:t>
      </w:r>
    </w:p>
    <w:p>
      <w:pPr>
        <w:spacing w:after="0" w:line="164" w:lineRule="exact"/>
        <w:rPr>
          <w:sz w:val="20"/>
          <w:szCs w:val="20"/>
          <w:color w:val="auto"/>
        </w:rPr>
      </w:pPr>
    </w:p>
    <w:p>
      <w:pPr>
        <w:ind w:firstLine="8"/>
        <w:spacing w:after="0" w:line="301" w:lineRule="auto"/>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Capitalized terms used in this Tenth Amendment without definition shall have the meanings ascribed to such terms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w:t>
      </w:r>
    </w:p>
    <w:p>
      <w:pPr>
        <w:spacing w:after="0" w:line="138" w:lineRule="exact"/>
        <w:rPr>
          <w:rFonts w:ascii="Times New Roman" w:cs="Times New Roman" w:eastAsia="Times New Roman" w:hAnsi="Times New Roman"/>
          <w:sz w:val="20"/>
          <w:szCs w:val="20"/>
          <w:color w:val="auto"/>
        </w:rPr>
      </w:pPr>
    </w:p>
    <w:p>
      <w:pPr>
        <w:ind w:right="20" w:firstLine="8"/>
        <w:spacing w:after="0" w:line="287" w:lineRule="auto"/>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Recitals</w:t>
      </w:r>
      <w:r>
        <w:rPr>
          <w:rFonts w:ascii="Times New Roman" w:cs="Times New Roman" w:eastAsia="Times New Roman" w:hAnsi="Times New Roman"/>
          <w:sz w:val="20"/>
          <w:szCs w:val="20"/>
          <w:color w:val="auto"/>
        </w:rPr>
        <w:t>. As of the Tenth Amendment Effective Date, the Recitals to the Agreement are replaced in their entirety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w:t>
      </w:r>
    </w:p>
    <w:p>
      <w:pPr>
        <w:spacing w:after="0" w:line="169"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WHEREAS, Sutton Bank is in the business of providing consumer-purpose cards that are prepaid cards and is an approved issuer of prepaid cards on one or more Networks;</w:t>
      </w:r>
    </w:p>
    <w:p>
      <w:pPr>
        <w:spacing w:after="0" w:line="52" w:lineRule="exact"/>
        <w:rPr>
          <w:sz w:val="20"/>
          <w:szCs w:val="20"/>
          <w:color w:val="auto"/>
        </w:rPr>
      </w:pPr>
    </w:p>
    <w:p>
      <w:pPr>
        <w:jc w:val="both"/>
        <w:ind w:left="660" w:right="20"/>
        <w:spacing w:after="0" w:line="297" w:lineRule="auto"/>
        <w:rPr>
          <w:sz w:val="20"/>
          <w:szCs w:val="20"/>
          <w:color w:val="auto"/>
        </w:rPr>
      </w:pPr>
      <w:r>
        <w:rPr>
          <w:rFonts w:ascii="Times New Roman" w:cs="Times New Roman" w:eastAsia="Times New Roman" w:hAnsi="Times New Roman"/>
          <w:sz w:val="20"/>
          <w:szCs w:val="20"/>
          <w:color w:val="auto"/>
        </w:rPr>
        <w:t>WHEREAS, Sutton Bank is also in the business of providing consumer-purpose cards that have the ability to access both asset accounts and loan products and is an approved issuer of such cards on one or more Networks;</w:t>
      </w:r>
    </w:p>
    <w:p>
      <w:pPr>
        <w:spacing w:after="0" w:line="3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20"/>
          <w:szCs w:val="20"/>
          <w:color w:val="auto"/>
        </w:rPr>
        <w:t>WHEREAS, Sutton Bank desires to issue such prepaid cards and cards that have the ability to access both asset accounts and loan products and provide the services set forth in Exhibit B (the “Sutton Bank Services”) and the other Program Documents in connection with Transactions;</w:t>
      </w:r>
    </w:p>
    <w:p>
      <w:pPr>
        <w:spacing w:after="0" w:line="80"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WHEREAS, Manager desires to manage one or more Cards (as defined below) pursuant to one or more Programs, subject to the terms and conditions of the Program Documents;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Sutton Bank desires to designate Manager as the program manager for such Cards and Programs;</w:t>
      </w:r>
    </w:p>
    <w:p>
      <w:pPr>
        <w:spacing w:after="0" w:line="135"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promises and the mutual agreements, provisions, covenants and conditions contained in this Amended Program Manager Agreement, Sutton Bank and Manager agree as follows: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0" w:right="339" w:bottom="1440" w:gutter="0" w:footer="0" w:header="0"/>
        </w:sectPr>
      </w:pPr>
    </w:p>
    <w:bookmarkStart w:id="127" w:name="page128"/>
    <w:bookmarkEnd w:id="127"/>
    <w:p>
      <w:pPr>
        <w:spacing w:after="0" w:line="199" w:lineRule="exact"/>
        <w:rPr>
          <w:sz w:val="20"/>
          <w:szCs w:val="20"/>
          <w:color w:val="auto"/>
        </w:rPr>
      </w:pPr>
    </w:p>
    <w:p>
      <w:pPr>
        <w:ind w:firstLine="8"/>
        <w:spacing w:after="0" w:line="287"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Title</w:t>
      </w:r>
      <w:r>
        <w:rPr>
          <w:rFonts w:ascii="Times New Roman" w:cs="Times New Roman" w:eastAsia="Times New Roman" w:hAnsi="Times New Roman"/>
          <w:sz w:val="20"/>
          <w:szCs w:val="20"/>
          <w:color w:val="auto"/>
        </w:rPr>
        <w:t>. As of the Tenth Amendment Effective Date, the title of the Agreement is amended by deleting the word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“Prepaid” where it appears.</w:t>
      </w:r>
    </w:p>
    <w:p>
      <w:pPr>
        <w:spacing w:after="0" w:line="165" w:lineRule="exact"/>
        <w:rPr>
          <w:rFonts w:ascii="Times New Roman" w:cs="Times New Roman" w:eastAsia="Times New Roman" w:hAnsi="Times New Roman"/>
          <w:sz w:val="20"/>
          <w:szCs w:val="20"/>
          <w:color w:val="auto"/>
        </w:rPr>
      </w:pPr>
    </w:p>
    <w:p>
      <w:pPr>
        <w:jc w:val="both"/>
        <w:ind w:firstLine="8"/>
        <w:spacing w:after="0" w:line="269"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1.1 Certain Interpretive Matters</w:t>
      </w:r>
      <w:r>
        <w:rPr>
          <w:rFonts w:ascii="Times New Roman" w:cs="Times New Roman" w:eastAsia="Times New Roman" w:hAnsi="Times New Roman"/>
          <w:sz w:val="20"/>
          <w:szCs w:val="20"/>
          <w:color w:val="auto"/>
        </w:rPr>
        <w:t>. As of the Tenth Amendment Effective Date, Section 1.1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is amended by (a) deleting “and” before “(x)” and inserting at the end thereof new clause (xi) as follows: “, and “(xi) the fact that Sutton Bank has provided approval or consent shall not mean or otherwise be construed to mean that Sutton Bank has assumed Manager’s obligations to comply with all Applicable Law arising from or relating to any requested or required approval or consent.</w:t>
      </w:r>
    </w:p>
    <w:p>
      <w:pPr>
        <w:spacing w:after="0" w:line="17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1.2 Definitions</w:t>
      </w:r>
      <w:r>
        <w:rPr>
          <w:rFonts w:ascii="Times New Roman" w:cs="Times New Roman" w:eastAsia="Times New Roman" w:hAnsi="Times New Roman"/>
          <w:sz w:val="20"/>
          <w:szCs w:val="20"/>
          <w:color w:val="auto"/>
        </w:rPr>
        <w:t>. As of the Tenth Amendment Effective Date,</w:t>
      </w:r>
    </w:p>
    <w:p>
      <w:pPr>
        <w:spacing w:after="0" w:line="233" w:lineRule="exact"/>
        <w:rPr>
          <w:sz w:val="20"/>
          <w:szCs w:val="20"/>
          <w:color w:val="auto"/>
        </w:rPr>
      </w:pPr>
    </w:p>
    <w:p>
      <w:pPr>
        <w:ind w:left="660" w:right="20" w:hanging="4"/>
        <w:spacing w:after="0" w:line="297" w:lineRule="auto"/>
        <w:tabs>
          <w:tab w:leader="none" w:pos="129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defined terms that appear in Section 1.2 of the Agreement are replaced in their entirety with the new definitions below:</w:t>
      </w:r>
    </w:p>
    <w:p>
      <w:pPr>
        <w:spacing w:after="0" w:line="142" w:lineRule="exact"/>
        <w:rPr>
          <w:sz w:val="20"/>
          <w:szCs w:val="20"/>
          <w:color w:val="auto"/>
        </w:rPr>
      </w:pPr>
    </w:p>
    <w:p>
      <w:pPr>
        <w:jc w:val="both"/>
        <w:ind w:left="1960" w:firstLine="648"/>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Activate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Activated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Activation</w:t>
      </w:r>
      <w:r>
        <w:rPr>
          <w:rFonts w:ascii="Times New Roman" w:cs="Times New Roman" w:eastAsia="Times New Roman" w:hAnsi="Times New Roman"/>
          <w:sz w:val="20"/>
          <w:szCs w:val="20"/>
          <w:color w:val="auto"/>
        </w:rPr>
        <w:t>” means, with respect to a Prepaid Card, the process separate from funding of the Prepaid Card by which the Cardholder causes the Prepaid Card to be usable for Transactions as provided by and subject to the applicable Cardholder Agreement. The Parties acknowledge that two types of Activation may occur with respect to Prepaid Cards: some Prepaid Cards may be Activated by Distributors when they are first sold so that the Prepaid Card may be used for Transactions immediately upon its purchase or distribution, and other Prepaid Cards may be distributed to Cardholders in an un-activated state and need to be Activated by the Cardholder, usually via telephone or online, each as provided in the Program Due Diligence Application.</w:t>
      </w:r>
    </w:p>
    <w:p>
      <w:pPr>
        <w:spacing w:after="0" w:line="192" w:lineRule="exact"/>
        <w:rPr>
          <w:sz w:val="20"/>
          <w:szCs w:val="20"/>
          <w:color w:val="auto"/>
        </w:rPr>
      </w:pPr>
    </w:p>
    <w:p>
      <w:pPr>
        <w:jc w:val="both"/>
        <w:ind w:left="196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Card</w:t>
      </w:r>
      <w:r>
        <w:rPr>
          <w:rFonts w:ascii="Times New Roman" w:cs="Times New Roman" w:eastAsia="Times New Roman" w:hAnsi="Times New Roman"/>
          <w:sz w:val="20"/>
          <w:szCs w:val="20"/>
          <w:color w:val="auto"/>
        </w:rPr>
        <w:t>” means a Prepaid Card or a Debit Flex Card, or both Prepaid Card and Debit Flex Card, as the context requires.</w:t>
      </w:r>
    </w:p>
    <w:p>
      <w:pPr>
        <w:spacing w:after="0" w:line="152" w:lineRule="exact"/>
        <w:rPr>
          <w:sz w:val="20"/>
          <w:szCs w:val="20"/>
          <w:color w:val="auto"/>
        </w:rPr>
      </w:pPr>
    </w:p>
    <w:p>
      <w:pPr>
        <w:jc w:val="both"/>
        <w:ind w:left="1960"/>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Cardholder Agreement</w:t>
      </w:r>
      <w:r>
        <w:rPr>
          <w:rFonts w:ascii="Times New Roman" w:cs="Times New Roman" w:eastAsia="Times New Roman" w:hAnsi="Times New Roman"/>
          <w:sz w:val="20"/>
          <w:szCs w:val="20"/>
          <w:color w:val="auto"/>
        </w:rPr>
        <w:t>” means the agreement between Sutton Bank and a Cardholder governing the terms and use of a Card.</w:t>
      </w:r>
    </w:p>
    <w:p>
      <w:pPr>
        <w:spacing w:after="0" w:line="31" w:lineRule="exact"/>
        <w:rPr>
          <w:sz w:val="20"/>
          <w:szCs w:val="20"/>
          <w:color w:val="auto"/>
        </w:rPr>
      </w:pPr>
    </w:p>
    <w:p>
      <w:pPr>
        <w:jc w:val="both"/>
        <w:ind w:left="1960"/>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Client</w:t>
      </w:r>
      <w:r>
        <w:rPr>
          <w:rFonts w:ascii="Times New Roman" w:cs="Times New Roman" w:eastAsia="Times New Roman" w:hAnsi="Times New Roman"/>
          <w:sz w:val="20"/>
          <w:szCs w:val="20"/>
          <w:color w:val="auto"/>
        </w:rPr>
        <w:t>” means a business customer of Manager’s that retains Manager to (i) in connection with a Prepaid Program, facilitate the issuance of Prepaid Cards for use by Client’s employees, customers, enrollees, subscribers and/or members (collectively, the “Client Customers”), and that sells or distributes Prepaid Cards to the Client Customers as Manager’s agent; or (ii) in connection with a Debit Flex Program, provide certain Debit Flex Card-related services, including facilitating issuance of Debit Flex Cards, transaction authorization and processing.</w:t>
      </w:r>
    </w:p>
    <w:p>
      <w:pPr>
        <w:spacing w:after="0" w:line="80" w:lineRule="exact"/>
        <w:rPr>
          <w:sz w:val="20"/>
          <w:szCs w:val="20"/>
          <w:color w:val="auto"/>
        </w:rPr>
      </w:pPr>
    </w:p>
    <w:p>
      <w:pPr>
        <w:jc w:val="both"/>
        <w:ind w:left="196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Settle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Settlement</w:t>
      </w:r>
      <w:r>
        <w:rPr>
          <w:rFonts w:ascii="Times New Roman" w:cs="Times New Roman" w:eastAsia="Times New Roman" w:hAnsi="Times New Roman"/>
          <w:sz w:val="20"/>
          <w:szCs w:val="20"/>
          <w:color w:val="auto"/>
        </w:rPr>
        <w:t>” means the movement of funds tendered for or Loaded (in connection with Prepaid Cards) or deposited (in connection with Debit Flex Cards) or paid to a Network, among Sutton Bank, other financial institutions and the Networks in accordance with Applicable Law to settle Transactions.</w:t>
      </w:r>
    </w:p>
    <w:p>
      <w:pPr>
        <w:spacing w:after="0" w:line="74" w:lineRule="exact"/>
        <w:rPr>
          <w:sz w:val="20"/>
          <w:szCs w:val="20"/>
          <w:color w:val="auto"/>
        </w:rPr>
      </w:pPr>
    </w:p>
    <w:p>
      <w:pPr>
        <w:jc w:val="both"/>
        <w:ind w:left="196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Transaction</w:t>
      </w:r>
      <w:r>
        <w:rPr>
          <w:rFonts w:ascii="Times New Roman" w:cs="Times New Roman" w:eastAsia="Times New Roman" w:hAnsi="Times New Roman"/>
          <w:sz w:val="20"/>
          <w:szCs w:val="20"/>
          <w:color w:val="auto"/>
        </w:rPr>
        <w:t>” means using a Card to do any of the following: (i) make a purchase or otherwise make a payment to or for the benefit of a third party; (ii)</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28" w:name="page129"/>
    <w:bookmarkEnd w:id="128"/>
    <w:p>
      <w:pPr>
        <w:jc w:val="both"/>
        <w:ind w:left="1304"/>
        <w:spacing w:after="0" w:line="275" w:lineRule="auto"/>
        <w:rPr>
          <w:sz w:val="20"/>
          <w:szCs w:val="20"/>
          <w:color w:val="auto"/>
        </w:rPr>
      </w:pPr>
      <w:r>
        <w:rPr>
          <w:rFonts w:ascii="Times New Roman" w:cs="Times New Roman" w:eastAsia="Times New Roman" w:hAnsi="Times New Roman"/>
          <w:sz w:val="20"/>
          <w:szCs w:val="20"/>
          <w:color w:val="auto"/>
        </w:rPr>
        <w:t>obtain a credit for a previous purchase; (iii) make a cash withdrawal at an automated teller machine, bank teller, or via other means; (iv) to transfer value to another Card or account; (v) to add funds to a Prepaid Cardholder Account or Asset Account; or (vi) without duplication of any of the foregoing, any other transaction involving use of a Card.</w:t>
      </w:r>
    </w:p>
    <w:p>
      <w:pPr>
        <w:spacing w:after="0" w:line="168" w:lineRule="exact"/>
        <w:rPr>
          <w:sz w:val="20"/>
          <w:szCs w:val="20"/>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are added to Section 1.2 of the Agreement in alphabetical order therein as follows:</w:t>
      </w:r>
    </w:p>
    <w:p>
      <w:pPr>
        <w:spacing w:after="0" w:line="225" w:lineRule="exact"/>
        <w:rPr>
          <w:sz w:val="20"/>
          <w:szCs w:val="20"/>
          <w:color w:val="auto"/>
        </w:rPr>
      </w:pPr>
    </w:p>
    <w:p>
      <w:pPr>
        <w:jc w:val="both"/>
        <w:ind w:left="1304"/>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Account</w:t>
      </w:r>
      <w:r>
        <w:rPr>
          <w:rFonts w:ascii="Times New Roman" w:cs="Times New Roman" w:eastAsia="Times New Roman" w:hAnsi="Times New Roman"/>
          <w:sz w:val="20"/>
          <w:szCs w:val="20"/>
          <w:color w:val="auto"/>
        </w:rPr>
        <w:t>” means a consumer-purpose asset account maintained by a Client for a Debit Flex Card customer in connection with the applicable Debit Flex Program.</w:t>
      </w:r>
    </w:p>
    <w:p>
      <w:pPr>
        <w:spacing w:after="0" w:line="139" w:lineRule="exact"/>
        <w:rPr>
          <w:sz w:val="20"/>
          <w:szCs w:val="20"/>
          <w:color w:val="auto"/>
        </w:rPr>
      </w:pPr>
    </w:p>
    <w:p>
      <w:pPr>
        <w:jc w:val="both"/>
        <w:ind w:left="1304"/>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Debit Flex Card</w:t>
      </w:r>
      <w:r>
        <w:rPr>
          <w:rFonts w:ascii="Times New Roman" w:cs="Times New Roman" w:eastAsia="Times New Roman" w:hAnsi="Times New Roman"/>
          <w:sz w:val="20"/>
          <w:szCs w:val="20"/>
          <w:color w:val="auto"/>
        </w:rPr>
        <w:t>” means a consumer-purpose virtual or physical card issued by Sutton Bank that may be used to access an Asset Account or Loans in connection with a Debit Flex Program implemented pursuant to this Amended Program Manager Agreement.</w:t>
      </w:r>
    </w:p>
    <w:p>
      <w:pPr>
        <w:spacing w:after="0" w:line="162" w:lineRule="exact"/>
        <w:rPr>
          <w:sz w:val="20"/>
          <w:szCs w:val="20"/>
          <w:color w:val="auto"/>
        </w:rPr>
      </w:pPr>
    </w:p>
    <w:p>
      <w:pPr>
        <w:jc w:val="both"/>
        <w:ind w:left="1304"/>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Debit Flex Program</w:t>
      </w:r>
      <w:r>
        <w:rPr>
          <w:rFonts w:ascii="Times New Roman" w:cs="Times New Roman" w:eastAsia="Times New Roman" w:hAnsi="Times New Roman"/>
          <w:sz w:val="20"/>
          <w:szCs w:val="20"/>
          <w:color w:val="auto"/>
        </w:rPr>
        <w:t>” means a program for the marketing and issuance of consumer-purpose cards provided by Manager and Sutton Bank with the ability to access accounts and loan products pursuant to this Amended Program Manager Agreement. This Amended Program Manager Agreement contemplates multiple Debit Flex Programs may be offered hereunder.</w:t>
      </w:r>
    </w:p>
    <w:p>
      <w:pPr>
        <w:spacing w:after="0" w:line="6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FBO Account</w:t>
      </w:r>
      <w:r>
        <w:rPr>
          <w:rFonts w:ascii="Times New Roman" w:cs="Times New Roman" w:eastAsia="Times New Roman" w:hAnsi="Times New Roman"/>
          <w:sz w:val="20"/>
          <w:szCs w:val="20"/>
          <w:color w:val="auto"/>
        </w:rPr>
        <w:t>” shall have the meaning set forth in Section 3.1(S)(ii).</w:t>
      </w:r>
    </w:p>
    <w:p>
      <w:pPr>
        <w:spacing w:after="0" w:line="13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FBO Data</w:t>
      </w:r>
      <w:r>
        <w:rPr>
          <w:rFonts w:ascii="Times New Roman" w:cs="Times New Roman" w:eastAsia="Times New Roman" w:hAnsi="Times New Roman"/>
          <w:sz w:val="20"/>
          <w:szCs w:val="20"/>
          <w:color w:val="auto"/>
        </w:rPr>
        <w:t>” shall have the meaning set forth in Section 3.1(T).</w:t>
      </w:r>
    </w:p>
    <w:p>
      <w:pPr>
        <w:spacing w:after="0" w:line="121" w:lineRule="exact"/>
        <w:rPr>
          <w:sz w:val="20"/>
          <w:szCs w:val="20"/>
          <w:color w:val="auto"/>
        </w:rPr>
      </w:pPr>
    </w:p>
    <w:p>
      <w:pPr>
        <w:jc w:val="both"/>
        <w:ind w:left="1304"/>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means a consumer-purpose closed-end loan that is originated by a party other than Sutton Bank and that may be accessed by the Cardholder using a Debit Flex Card.</w:t>
      </w:r>
    </w:p>
    <w:p>
      <w:pPr>
        <w:spacing w:after="0" w:line="57" w:lineRule="exact"/>
        <w:rPr>
          <w:sz w:val="20"/>
          <w:szCs w:val="20"/>
          <w:color w:val="auto"/>
        </w:rPr>
      </w:pPr>
    </w:p>
    <w:p>
      <w:pPr>
        <w:jc w:val="both"/>
        <w:ind w:left="1304"/>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Prepaid Card</w:t>
      </w:r>
      <w:r>
        <w:rPr>
          <w:rFonts w:ascii="Times New Roman" w:cs="Times New Roman" w:eastAsia="Times New Roman" w:hAnsi="Times New Roman"/>
          <w:sz w:val="20"/>
          <w:szCs w:val="20"/>
          <w:color w:val="auto"/>
        </w:rPr>
        <w:t>” means a reloadable or non-reloadable prepaid card or other prepaid access device or number issued by Sutton Bank as a product of Sutton Bank in connection with a Prepaid Program implemented pursuant to this Amended Program Manager Agreement and under authority from a Network.</w:t>
      </w:r>
    </w:p>
    <w:p>
      <w:pPr>
        <w:spacing w:after="0" w:line="74" w:lineRule="exact"/>
        <w:rPr>
          <w:sz w:val="20"/>
          <w:szCs w:val="20"/>
          <w:color w:val="auto"/>
        </w:rPr>
      </w:pPr>
    </w:p>
    <w:p>
      <w:pPr>
        <w:jc w:val="both"/>
        <w:ind w:left="1304"/>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Prepaid Cardholder Account</w:t>
      </w:r>
      <w:r>
        <w:rPr>
          <w:rFonts w:ascii="Times New Roman" w:cs="Times New Roman" w:eastAsia="Times New Roman" w:hAnsi="Times New Roman"/>
          <w:sz w:val="20"/>
          <w:szCs w:val="20"/>
          <w:color w:val="auto"/>
        </w:rPr>
        <w:t>” means (i) the prepaid account which is associated with a Prepaid Card and includes the record of debits and credits with respect to Transactions originated by a Cardholder as detailed on the Processor’s network, and (ii) such other accounts for Additional Products.</w:t>
      </w:r>
    </w:p>
    <w:p>
      <w:pPr>
        <w:spacing w:after="0" w:line="74" w:lineRule="exact"/>
        <w:rPr>
          <w:sz w:val="20"/>
          <w:szCs w:val="20"/>
          <w:color w:val="auto"/>
        </w:rPr>
      </w:pPr>
    </w:p>
    <w:p>
      <w:pPr>
        <w:jc w:val="both"/>
        <w:ind w:left="1304"/>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Prepaid Program</w:t>
      </w:r>
      <w:r>
        <w:rPr>
          <w:rFonts w:ascii="Times New Roman" w:cs="Times New Roman" w:eastAsia="Times New Roman" w:hAnsi="Times New Roman"/>
          <w:sz w:val="20"/>
          <w:szCs w:val="20"/>
          <w:color w:val="auto"/>
        </w:rPr>
        <w:t>” means a system of services and features, as mutually agreed by Manager and Sutton Bank, relating to a particular type of Prepaid Card provided by Manager and Sutton Bank pursuant to this Amended Program Manager Agreement. This Amended Program Manager Agreement contemplates multiple Prepaid Programs may be offered hereunder.</w:t>
      </w:r>
    </w:p>
    <w:p>
      <w:pPr>
        <w:spacing w:after="0" w:line="17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Pulse</w:t>
      </w:r>
      <w:r>
        <w:rPr>
          <w:rFonts w:ascii="Times New Roman" w:cs="Times New Roman" w:eastAsia="Times New Roman" w:hAnsi="Times New Roman"/>
          <w:sz w:val="20"/>
          <w:szCs w:val="20"/>
          <w:color w:val="auto"/>
        </w:rPr>
        <w:t>” means Pulse Network LLC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4"/>
          </w:cols>
          <w:pgMar w:left="976" w:top="1426" w:right="339" w:bottom="1440" w:gutter="0" w:footer="0" w:header="0"/>
        </w:sectPr>
      </w:pPr>
    </w:p>
    <w:bookmarkStart w:id="129" w:name="page130"/>
    <w:bookmarkEnd w:id="129"/>
    <w:p>
      <w:pPr>
        <w:spacing w:after="0" w:line="203" w:lineRule="exact"/>
        <w:rPr>
          <w:sz w:val="20"/>
          <w:szCs w:val="20"/>
          <w:color w:val="auto"/>
        </w:rPr>
      </w:pPr>
    </w:p>
    <w:p>
      <w:pPr>
        <w:ind w:left="4" w:hanging="4"/>
        <w:spacing w:after="0" w:line="283" w:lineRule="auto"/>
        <w:tabs>
          <w:tab w:leader="none" w:pos="64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“Breakage” in Section 1.2 of the Agreement is amended by replacing references to “Card” therein with “Prepaid Card”.</w:t>
      </w:r>
    </w:p>
    <w:p>
      <w:pPr>
        <w:spacing w:after="0" w:line="17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“Card Program” in Section 1.2 of the Agreement is deleted in its entirety.</w:t>
      </w:r>
    </w:p>
    <w:p>
      <w:pPr>
        <w:spacing w:after="0" w:line="22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“Cardholder Account” in Section 1.2 of the Agreement is deleted in its entirety.</w:t>
      </w:r>
    </w:p>
    <w:p>
      <w:pPr>
        <w:spacing w:after="0" w:line="229" w:lineRule="exact"/>
        <w:rPr>
          <w:rFonts w:ascii="Times New Roman" w:cs="Times New Roman" w:eastAsia="Times New Roman" w:hAnsi="Times New Roman"/>
          <w:sz w:val="20"/>
          <w:szCs w:val="20"/>
          <w:color w:val="auto"/>
        </w:rPr>
      </w:pPr>
    </w:p>
    <w:p>
      <w:pPr>
        <w:jc w:val="both"/>
        <w:ind w:left="4" w:hanging="4"/>
        <w:spacing w:after="0" w:line="275" w:lineRule="auto"/>
        <w:tabs>
          <w:tab w:leader="none" w:pos="64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“Cardholder Data” in Section 1.2 of the Agreement is amended by (i) replacing references to “Cardholder Account” with “Card” and “Cardholder Accounts” with “Cards”, (ii) deleting “and,” before “(iv)” and (iii) inserting at the end thereof before the “.” the following: “, and, (v) FBO Data”.</w:t>
      </w:r>
    </w:p>
    <w:p>
      <w:pPr>
        <w:spacing w:after="0" w:line="167" w:lineRule="exact"/>
        <w:rPr>
          <w:rFonts w:ascii="Times New Roman" w:cs="Times New Roman" w:eastAsia="Times New Roman" w:hAnsi="Times New Roman"/>
          <w:sz w:val="20"/>
          <w:szCs w:val="20"/>
          <w:color w:val="auto"/>
        </w:rPr>
      </w:pPr>
    </w:p>
    <w:p>
      <w:pPr>
        <w:ind w:left="4" w:hanging="4"/>
        <w:spacing w:after="0" w:line="297" w:lineRule="auto"/>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“Cardholder Funds” in Section 1.2 of the Agreement is amended by replacing the reference to “Card” with “Prepaid Card”.</w:t>
      </w:r>
    </w:p>
    <w:p>
      <w:pPr>
        <w:spacing w:after="0" w:line="146" w:lineRule="exact"/>
        <w:rPr>
          <w:rFonts w:ascii="Times New Roman" w:cs="Times New Roman" w:eastAsia="Times New Roman" w:hAnsi="Times New Roman"/>
          <w:sz w:val="20"/>
          <w:szCs w:val="20"/>
          <w:color w:val="auto"/>
        </w:rPr>
      </w:pPr>
    </w:p>
    <w:p>
      <w:pPr>
        <w:ind w:left="4" w:hanging="4"/>
        <w:spacing w:after="0" w:line="283" w:lineRule="auto"/>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“Corporate Funded Card” in Section 1.2 of the Agreement is amended by replacing the reference to “card” with “Prepaid Card”.</w:t>
      </w:r>
    </w:p>
    <w:p>
      <w:pPr>
        <w:spacing w:after="0" w:line="17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“Distributor” in Section 1.2 of the Agreement is amended by replacing references to “Cards” with “Prepaid</w:t>
      </w:r>
    </w:p>
    <w:p>
      <w:pPr>
        <w:spacing w:after="0" w:line="28" w:lineRule="exact"/>
        <w:rPr>
          <w:rFonts w:ascii="Times New Roman" w:cs="Times New Roman" w:eastAsia="Times New Roman" w:hAnsi="Times New Roman"/>
          <w:sz w:val="20"/>
          <w:szCs w:val="20"/>
          <w:color w:val="auto"/>
        </w:rPr>
      </w:pP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Cards”.</w:t>
      </w:r>
    </w:p>
    <w:p>
      <w:pPr>
        <w:spacing w:after="0" w:line="213" w:lineRule="exact"/>
        <w:rPr>
          <w:rFonts w:ascii="Times New Roman" w:cs="Times New Roman" w:eastAsia="Times New Roman" w:hAnsi="Times New Roman"/>
          <w:sz w:val="20"/>
          <w:szCs w:val="20"/>
          <w:color w:val="auto"/>
        </w:rPr>
      </w:pPr>
    </w:p>
    <w:p>
      <w:pPr>
        <w:ind w:left="4" w:right="20" w:hanging="4"/>
        <w:spacing w:after="0" w:line="297" w:lineRule="auto"/>
        <w:tabs>
          <w:tab w:leader="none" w:pos="6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“Load”, “Loaded” or “Loading” in Section 1.2 of the Agreement is amended by replacing references to “Card” with “Prepaid Card”.</w:t>
      </w:r>
    </w:p>
    <w:p>
      <w:pPr>
        <w:spacing w:after="0" w:line="146" w:lineRule="exact"/>
        <w:rPr>
          <w:rFonts w:ascii="Times New Roman" w:cs="Times New Roman" w:eastAsia="Times New Roman" w:hAnsi="Times New Roman"/>
          <w:sz w:val="20"/>
          <w:szCs w:val="20"/>
          <w:color w:val="auto"/>
        </w:rPr>
      </w:pPr>
    </w:p>
    <w:p>
      <w:pPr>
        <w:ind w:left="4" w:hanging="4"/>
        <w:spacing w:after="0" w:line="283" w:lineRule="auto"/>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“Load Failure” in Section 1.2 of the Agreement is amended by replacing the reference to “Card” with “Prepaid Card”.</w:t>
      </w:r>
    </w:p>
    <w:p>
      <w:pPr>
        <w:spacing w:after="0" w:line="173" w:lineRule="exact"/>
        <w:rPr>
          <w:rFonts w:ascii="Times New Roman" w:cs="Times New Roman" w:eastAsia="Times New Roman" w:hAnsi="Times New Roman"/>
          <w:sz w:val="20"/>
          <w:szCs w:val="20"/>
          <w:color w:val="auto"/>
        </w:rPr>
      </w:pPr>
    </w:p>
    <w:p>
      <w:pPr>
        <w:ind w:left="4" w:hanging="4"/>
        <w:spacing w:after="0" w:line="283" w:lineRule="auto"/>
        <w:tabs>
          <w:tab w:leader="none" w:pos="6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“Network” in Section 1.2 of the Agreement is amended by inserting after “MasterCard,” and before “or” the following: “Pulse,”.</w:t>
      </w:r>
    </w:p>
    <w:p>
      <w:pPr>
        <w:spacing w:after="0" w:line="159" w:lineRule="exact"/>
        <w:rPr>
          <w:rFonts w:ascii="Times New Roman" w:cs="Times New Roman" w:eastAsia="Times New Roman" w:hAnsi="Times New Roman"/>
          <w:sz w:val="20"/>
          <w:szCs w:val="20"/>
          <w:color w:val="auto"/>
        </w:rPr>
      </w:pPr>
    </w:p>
    <w:p>
      <w:pPr>
        <w:ind w:left="4" w:hanging="4"/>
        <w:spacing w:after="0" w:line="297" w:lineRule="auto"/>
        <w:tabs>
          <w:tab w:leader="none" w:pos="64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“Privacy Notices” in Section 1.2 of the Agreement is amended by (i) deleting “or” after “Affiliates” and (ii) inserting at the end thereof before the “.” the following: “or Clients”.</w:t>
      </w:r>
    </w:p>
    <w:p>
      <w:pPr>
        <w:spacing w:after="0" w:line="146" w:lineRule="exact"/>
        <w:rPr>
          <w:rFonts w:ascii="Times New Roman" w:cs="Times New Roman" w:eastAsia="Times New Roman" w:hAnsi="Times New Roman"/>
          <w:sz w:val="20"/>
          <w:szCs w:val="20"/>
          <w:color w:val="auto"/>
        </w:rPr>
      </w:pPr>
    </w:p>
    <w:p>
      <w:pPr>
        <w:ind w:left="4" w:hanging="4"/>
        <w:spacing w:after="0" w:line="283" w:lineRule="auto"/>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“Program” in Section 1.2 of the Agreement is amended by inserting at the end of the first sentence thereof before the “.” the following: “, including each Debit Flex Program and Prepaid Program”.</w:t>
      </w:r>
    </w:p>
    <w:p>
      <w:pPr>
        <w:spacing w:after="0" w:line="173" w:lineRule="exact"/>
        <w:rPr>
          <w:rFonts w:ascii="Times New Roman" w:cs="Times New Roman" w:eastAsia="Times New Roman" w:hAnsi="Times New Roman"/>
          <w:sz w:val="20"/>
          <w:szCs w:val="20"/>
          <w:color w:val="auto"/>
        </w:rPr>
      </w:pPr>
    </w:p>
    <w:p>
      <w:pPr>
        <w:jc w:val="both"/>
        <w:ind w:left="4" w:hanging="4"/>
        <w:spacing w:after="0" w:line="268" w:lineRule="auto"/>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“Program Materials” in Section 1.2 of the Agreement is amended by inserting (i) after “utilized by Manager” and before “, including”, and (ii) after “established by Manager” and before “in connection with”, in each case, the following: “or a Client”.</w:t>
      </w:r>
    </w:p>
    <w:p>
      <w:pPr>
        <w:spacing w:after="0" w:line="188" w:lineRule="exact"/>
        <w:rPr>
          <w:rFonts w:ascii="Times New Roman" w:cs="Times New Roman" w:eastAsia="Times New Roman" w:hAnsi="Times New Roman"/>
          <w:sz w:val="20"/>
          <w:szCs w:val="20"/>
          <w:color w:val="auto"/>
        </w:rPr>
      </w:pPr>
    </w:p>
    <w:p>
      <w:pPr>
        <w:ind w:left="4" w:hanging="4"/>
        <w:spacing w:after="0" w:line="283" w:lineRule="auto"/>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“Program Schedule” in Section 1.2 of the Agreement is amended by replacing the reference to “Card Program” with “Program”.</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4"/>
          </w:cols>
          <w:pgMar w:left="976" w:top="1440" w:right="339" w:bottom="1440" w:gutter="0" w:footer="0" w:header="0"/>
        </w:sectPr>
      </w:pPr>
    </w:p>
    <w:bookmarkStart w:id="130" w:name="page131"/>
    <w:bookmarkEnd w:id="130"/>
    <w:p>
      <w:pPr>
        <w:spacing w:after="0" w:line="203" w:lineRule="exact"/>
        <w:rPr>
          <w:sz w:val="20"/>
          <w:szCs w:val="20"/>
          <w:color w:val="auto"/>
        </w:rPr>
      </w:pPr>
    </w:p>
    <w:p>
      <w:pPr>
        <w:ind w:left="660" w:hanging="4"/>
        <w:spacing w:after="0" w:line="283" w:lineRule="auto"/>
        <w:tabs>
          <w:tab w:leader="none" w:pos="129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“Transaction Fee” in Section 1.2 of the Agreement is amended by replacing references to “Card” with “Prepaid Card”.</w:t>
      </w:r>
    </w:p>
    <w:p>
      <w:pPr>
        <w:spacing w:after="0" w:line="169" w:lineRule="exact"/>
        <w:rPr>
          <w:rFonts w:ascii="Times New Roman" w:cs="Times New Roman" w:eastAsia="Times New Roman" w:hAnsi="Times New Roman"/>
          <w:sz w:val="20"/>
          <w:szCs w:val="20"/>
          <w:color w:val="auto"/>
        </w:rPr>
      </w:pPr>
    </w:p>
    <w:p>
      <w:pPr>
        <w:ind w:right="20" w:firstLine="8"/>
        <w:spacing w:after="0" w:line="287"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2.1 Manager’s Role</w:t>
      </w:r>
      <w:r>
        <w:rPr>
          <w:rFonts w:ascii="Times New Roman" w:cs="Times New Roman" w:eastAsia="Times New Roman" w:hAnsi="Times New Roman"/>
          <w:sz w:val="20"/>
          <w:szCs w:val="20"/>
          <w:color w:val="auto"/>
        </w:rPr>
        <w:t>. As of the Tenth Amendment Effective Date, Section 2.1 of the Agreement is replaced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its entirety with the following:</w:t>
      </w:r>
    </w:p>
    <w:p>
      <w:pPr>
        <w:spacing w:after="0" w:line="152"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Manager’s Role.</w:t>
      </w:r>
    </w:p>
    <w:p>
      <w:pPr>
        <w:spacing w:after="0" w:line="247" w:lineRule="exact"/>
        <w:rPr>
          <w:sz w:val="20"/>
          <w:szCs w:val="20"/>
          <w:color w:val="auto"/>
        </w:rPr>
      </w:pPr>
    </w:p>
    <w:p>
      <w:pPr>
        <w:jc w:val="both"/>
        <w:ind w:left="1300" w:firstLine="648"/>
        <w:spacing w:after="0" w:line="276" w:lineRule="auto"/>
        <w:rPr>
          <w:sz w:val="20"/>
          <w:szCs w:val="20"/>
          <w:color w:val="auto"/>
        </w:rPr>
      </w:pPr>
      <w:r>
        <w:rPr>
          <w:rFonts w:ascii="Times New Roman" w:cs="Times New Roman" w:eastAsia="Times New Roman" w:hAnsi="Times New Roman"/>
          <w:sz w:val="19"/>
          <w:szCs w:val="19"/>
          <w:color w:val="auto"/>
        </w:rPr>
        <w:t>Manager and Sutton Bank acknowledge that Manager is providing services with respect to the Programs developed by Manager that have been reviewed and approved by Sutton Bank and for which Sutton Bank has approved Manager to provide the services described in this Amended Program Manager Agreement (each as specifically identified by a Program description on Schedule 2.1 hereto, as the same may be amended from time to time) (the “</w:t>
      </w:r>
      <w:r>
        <w:rPr>
          <w:rFonts w:ascii="Times New Roman" w:cs="Times New Roman" w:eastAsia="Times New Roman" w:hAnsi="Times New Roman"/>
          <w:sz w:val="19"/>
          <w:szCs w:val="19"/>
          <w:b w:val="1"/>
          <w:bCs w:val="1"/>
          <w:i w:val="1"/>
          <w:iCs w:val="1"/>
          <w:color w:val="auto"/>
        </w:rPr>
        <w:t>Approved Programs</w:t>
      </w:r>
      <w:r>
        <w:rPr>
          <w:rFonts w:ascii="Times New Roman" w:cs="Times New Roman" w:eastAsia="Times New Roman" w:hAnsi="Times New Roman"/>
          <w:sz w:val="19"/>
          <w:szCs w:val="19"/>
          <w:color w:val="auto"/>
        </w:rPr>
        <w:t>”) as an agent and representative of Sutton Bank, who has primary responsibility for each Program’s compliance with Applicable Law and the Program Documents. Manager shall (a) comply with the Program Documents that are provided to Manager by Sutton Bank; and (b) thoroughly examine the Program Documents provided by Sutton Bank. Each Transaction that Manager or Sutton Bank sends to or receives from any Network constitutes Manager’s ratification of the Program Documents, as then in effect and provided to Manager by Sutton Bank. Manager shall perform the obligations described in this Amended Program Manager Agreement in compliance with Applicable Law and shall ensure that each Program complies with Applicable Law.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9" w:lineRule="exact"/>
        <w:rPr>
          <w:sz w:val="20"/>
          <w:szCs w:val="20"/>
          <w:color w:val="auto"/>
        </w:rPr>
      </w:pPr>
    </w:p>
    <w:p>
      <w:pPr>
        <w:ind w:right="20" w:firstLine="8"/>
        <w:spacing w:after="0" w:line="287"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2.3 General</w:t>
      </w:r>
      <w:r>
        <w:rPr>
          <w:rFonts w:ascii="Times New Roman" w:cs="Times New Roman" w:eastAsia="Times New Roman" w:hAnsi="Times New Roman"/>
          <w:sz w:val="20"/>
          <w:szCs w:val="20"/>
          <w:color w:val="auto"/>
        </w:rPr>
        <w:t>. As of the Tenth Amendment Effective Date, Section 2.3(c) of the Agreement is amended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inserting at the beginning thereof, the following: “except for Asset Accounts and Loans,”.</w:t>
      </w:r>
    </w:p>
    <w:p>
      <w:pPr>
        <w:spacing w:after="0" w:line="165" w:lineRule="exact"/>
        <w:rPr>
          <w:rFonts w:ascii="Times New Roman" w:cs="Times New Roman" w:eastAsia="Times New Roman" w:hAnsi="Times New Roman"/>
          <w:sz w:val="20"/>
          <w:szCs w:val="20"/>
          <w:color w:val="auto"/>
        </w:rPr>
      </w:pPr>
    </w:p>
    <w:p>
      <w:pPr>
        <w:jc w:val="both"/>
        <w:ind w:firstLine="8"/>
        <w:spacing w:after="0" w:line="270"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2.4 Bank Determination of Applicable Law</w:t>
      </w:r>
      <w:r>
        <w:rPr>
          <w:rFonts w:ascii="Times New Roman" w:cs="Times New Roman" w:eastAsia="Times New Roman" w:hAnsi="Times New Roman"/>
          <w:sz w:val="20"/>
          <w:szCs w:val="20"/>
          <w:color w:val="auto"/>
        </w:rPr>
        <w:t>. As of the Tenth Amendment Effective Date, the following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inserted after the last sentence of Section 2.4 of the Agreement: “As agent of Sutton Bank, Manager shall oversee every Program’s compliance with Applicable Law.”</w:t>
      </w:r>
    </w:p>
    <w:p>
      <w:pPr>
        <w:spacing w:after="0" w:line="18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3.1 Manager’s Responsibilities</w:t>
      </w:r>
      <w:r>
        <w:rPr>
          <w:rFonts w:ascii="Times New Roman" w:cs="Times New Roman" w:eastAsia="Times New Roman" w:hAnsi="Times New Roman"/>
          <w:sz w:val="20"/>
          <w:szCs w:val="20"/>
          <w:color w:val="auto"/>
        </w:rPr>
        <w:t>. As of the Tenth Amendment Effective Date,</w:t>
      </w:r>
    </w:p>
    <w:p>
      <w:pPr>
        <w:spacing w:after="0" w:line="233" w:lineRule="exact"/>
        <w:rPr>
          <w:rFonts w:ascii="Times New Roman" w:cs="Times New Roman" w:eastAsia="Times New Roman" w:hAnsi="Times New Roman"/>
          <w:sz w:val="20"/>
          <w:szCs w:val="20"/>
          <w:color w:val="auto"/>
        </w:rPr>
      </w:pPr>
    </w:p>
    <w:p>
      <w:pPr>
        <w:jc w:val="both"/>
        <w:ind w:left="660" w:hanging="4"/>
        <w:spacing w:after="0" w:line="260" w:lineRule="auto"/>
        <w:tabs>
          <w:tab w:leader="none" w:pos="129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(A) of Section 3.1 of the Agreement is amended by (i) replacing the reference to “Sutton Bank Prepaid Card Services” with “Sutton Bank Services related thereto”; (ii) deleting “and” at the end of clause “(i)” and adding new clause (iii) as follows: “and (iii) Clients that will be offering Debit Flex Cards or any of the Sutton Bank Services related thereto”; and (iii) adding to the end thereof, the following: “Manager shall ensure that each agreement with a Client, including as such agreement is amended, supplemented, or modified, provides that: (a) Client shall defend, indemnify, and hold harmless, Sutton Bank from and against any damages and losses, including related costs and expenses, as a result of a third-party claim arising out of Client’s breach, gross negligence, willful misconduct, fraudulent acts or omissions, failure to comply with applicable law, infringement of intellectual property rights, and businesses and services of Client; and (b) Sutton Bank is a third-party beneficiary with right of enforcement of such agreement. As part of the fact sheets that Manager provides to Sutton Bank from time to time, Manager shall notify Sutton Bank in writing of any executed agreements with each Client, including all amendments, supplements and modifications thereof, promptly after execution and provide a description of the general content thereof as well as a detailed description of any content that relates to Sutton Bank. Manager agrees to include in such fact sheets any additional data or information as mutually agreed upon in good faith by the Parties from time to time.</w:t>
      </w:r>
    </w:p>
    <w:p>
      <w:pPr>
        <w:spacing w:after="0" w:line="190" w:lineRule="exact"/>
        <w:rPr>
          <w:rFonts w:ascii="Times New Roman" w:cs="Times New Roman" w:eastAsia="Times New Roman" w:hAnsi="Times New Roman"/>
          <w:sz w:val="20"/>
          <w:szCs w:val="20"/>
          <w:color w:val="auto"/>
        </w:rPr>
      </w:pPr>
    </w:p>
    <w:p>
      <w:pPr>
        <w:jc w:val="both"/>
        <w:ind w:left="660" w:hanging="4"/>
        <w:spacing w:after="0" w:line="268" w:lineRule="auto"/>
        <w:tabs>
          <w:tab w:leader="none" w:pos="129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(B)(ii) of Section 3.1 of the Agreement is amended by (i) inserting after “any Client to” and before “sell or distribute” the following: “offer,” and (ii) inserting at the end thereof, the following: “Prior to entering into an agreement with a prospective Client, Manager shall perform a due diligence review and document such review of the prospective Client and, as applicable, its principal owners and management, in accordance with any requirements provided by Sutton Bank, and, as applicable, consistent with the FFIEC Handbook.”</w:t>
      </w:r>
    </w:p>
    <w:p>
      <w:pPr>
        <w:spacing w:after="0" w:line="173" w:lineRule="exact"/>
        <w:rPr>
          <w:rFonts w:ascii="Times New Roman" w:cs="Times New Roman" w:eastAsia="Times New Roman" w:hAnsi="Times New Roman"/>
          <w:sz w:val="20"/>
          <w:szCs w:val="20"/>
          <w:color w:val="auto"/>
        </w:rPr>
      </w:pPr>
    </w:p>
    <w:p>
      <w:pPr>
        <w:ind w:left="660" w:hanging="4"/>
        <w:spacing w:after="0" w:line="283" w:lineRule="auto"/>
        <w:tabs>
          <w:tab w:leader="none" w:pos="129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(B) of Section 3.1 of the Agreement is amended by adding new subsections (iii), (iv), and (v) to the end thereof as follows:</w:t>
      </w:r>
    </w:p>
    <w:p>
      <w:pPr>
        <w:spacing w:after="0" w:line="173" w:lineRule="exact"/>
        <w:rPr>
          <w:rFonts w:ascii="Times New Roman" w:cs="Times New Roman" w:eastAsia="Times New Roman" w:hAnsi="Times New Roman"/>
          <w:sz w:val="20"/>
          <w:szCs w:val="20"/>
          <w:color w:val="auto"/>
        </w:rPr>
      </w:pPr>
    </w:p>
    <w:p>
      <w:pPr>
        <w:jc w:val="both"/>
        <w:ind w:left="1960" w:hanging="8"/>
        <w:spacing w:after="0" w:line="264" w:lineRule="auto"/>
        <w:tabs>
          <w:tab w:leader="none" w:pos="2557"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Manager shall perform periodic financial monitoring of all Clients, such monitoring to be consistent with Applicable Law and the risk inherent in the relationship with such Client, including, but not limited to, the Network Rules and the FFIEC Handbook. Manager shall request Clients to furnish Sutton Bank with such financial and other information as Sutton Bank may from time to time reasonably request. Manager shall promptly notify Sutton Bank of any information Manager receives that is likely to have a material adverse effect 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32" w:name="page133"/>
    <w:bookmarkEnd w:id="132"/>
    <w:p>
      <w:pPr>
        <w:jc w:val="both"/>
        <w:ind w:left="1304"/>
        <w:spacing w:after="0" w:line="268" w:lineRule="auto"/>
        <w:rPr>
          <w:sz w:val="20"/>
          <w:szCs w:val="20"/>
          <w:color w:val="auto"/>
        </w:rPr>
      </w:pPr>
      <w:r>
        <w:rPr>
          <w:rFonts w:ascii="Times New Roman" w:cs="Times New Roman" w:eastAsia="Times New Roman" w:hAnsi="Times New Roman"/>
          <w:sz w:val="20"/>
          <w:szCs w:val="20"/>
          <w:color w:val="auto"/>
        </w:rPr>
        <w:t>the creditworthiness of any Client or that could affect a Client’s ability to meet its obligations under the Programs. Manager also shall promptly notify Sutton Bank in the event Manager determines that a Client is engaged in any activities that Manager believes may be reasonably likely to result in a Criticism or material legal, financial, or reputational risk to Sutton Bank or Manager, or risk of lawsuit against Sutton Bank or Manager.</w:t>
      </w:r>
    </w:p>
    <w:p>
      <w:pPr>
        <w:spacing w:after="0" w:line="107" w:lineRule="exact"/>
        <w:rPr>
          <w:sz w:val="20"/>
          <w:szCs w:val="20"/>
          <w:color w:val="auto"/>
        </w:rPr>
      </w:pPr>
    </w:p>
    <w:p>
      <w:pPr>
        <w:jc w:val="both"/>
        <w:ind w:left="1304" w:hanging="8"/>
        <w:spacing w:after="0" w:line="264" w:lineRule="auto"/>
        <w:tabs>
          <w:tab w:leader="none" w:pos="184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Manager shall periodically monitor each Client’s operations, policies and procedures, such monitoring to be consistent with the requirements and guidance reflected in the FFIEC Handbook, and shall contractually obligate each Client (to the extent it may have access to Cardholder Data) to have proper security measures in place for the protection of Cardholder Data that are in compliance with Applicable Law, including, if applicable, the PCI-DSS as implemented by the applicable Network.</w:t>
      </w:r>
    </w:p>
    <w:p>
      <w:pPr>
        <w:spacing w:after="0" w:line="112" w:lineRule="exact"/>
        <w:rPr>
          <w:rFonts w:ascii="Times New Roman" w:cs="Times New Roman" w:eastAsia="Times New Roman" w:hAnsi="Times New Roman"/>
          <w:sz w:val="20"/>
          <w:szCs w:val="20"/>
          <w:color w:val="auto"/>
        </w:rPr>
      </w:pPr>
    </w:p>
    <w:p>
      <w:pPr>
        <w:jc w:val="both"/>
        <w:ind w:left="1304" w:hanging="8"/>
        <w:spacing w:after="0" w:line="268" w:lineRule="auto"/>
        <w:tabs>
          <w:tab w:leader="none" w:pos="1861"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Manager shall provide each Client that provides Cardholder-facing services all necessary and appropriate training and support required to implement the Programs, all in a form and substance reasonably satisfactory to Sutton Bank and in accordance with Applicable Law and standard industry practices as such industry practices may evolve during the term of this Amended Program Manager Agreement.</w:t>
      </w:r>
    </w:p>
    <w:p>
      <w:pPr>
        <w:spacing w:after="0" w:line="187" w:lineRule="exact"/>
        <w:rPr>
          <w:rFonts w:ascii="Times New Roman" w:cs="Times New Roman" w:eastAsia="Times New Roman" w:hAnsi="Times New Roman"/>
          <w:sz w:val="20"/>
          <w:szCs w:val="20"/>
          <w:color w:val="auto"/>
        </w:rPr>
      </w:pPr>
    </w:p>
    <w:p>
      <w:pPr>
        <w:ind w:left="4" w:right="20" w:hanging="4"/>
        <w:spacing w:after="0" w:line="283" w:lineRule="auto"/>
        <w:tabs>
          <w:tab w:leader="none" w:pos="6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(H) of Section 3.1 of the Agreement is amended by replacing the reference to “Sutton Bank Prepaid Card Services” with “Sutton Bank Services”.</w:t>
      </w:r>
    </w:p>
    <w:p>
      <w:pPr>
        <w:spacing w:after="0" w:line="159" w:lineRule="exact"/>
        <w:rPr>
          <w:rFonts w:ascii="Times New Roman" w:cs="Times New Roman" w:eastAsia="Times New Roman" w:hAnsi="Times New Roman"/>
          <w:sz w:val="20"/>
          <w:szCs w:val="20"/>
          <w:color w:val="auto"/>
        </w:rPr>
      </w:pPr>
    </w:p>
    <w:p>
      <w:pPr>
        <w:ind w:left="4" w:right="20" w:hanging="4"/>
        <w:spacing w:after="0" w:line="297" w:lineRule="auto"/>
        <w:tabs>
          <w:tab w:leader="none" w:pos="64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(J) of Section 3.1 of the Agreement is amended by (i) replacing “All” at the beginning thereof with “Solely with respect to Prepaid Cards, all” and (ii) replacing the reference to “Cards” with “Prepaid Cards”.</w:t>
      </w:r>
    </w:p>
    <w:p>
      <w:pPr>
        <w:spacing w:after="0" w:line="146" w:lineRule="exact"/>
        <w:rPr>
          <w:rFonts w:ascii="Times New Roman" w:cs="Times New Roman" w:eastAsia="Times New Roman" w:hAnsi="Times New Roman"/>
          <w:sz w:val="20"/>
          <w:szCs w:val="20"/>
          <w:color w:val="auto"/>
        </w:rPr>
      </w:pPr>
    </w:p>
    <w:p>
      <w:pPr>
        <w:jc w:val="both"/>
        <w:ind w:left="4" w:hanging="4"/>
        <w:spacing w:after="0" w:line="275" w:lineRule="auto"/>
        <w:tabs>
          <w:tab w:leader="none" w:pos="64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(K) of Section 3.1 of the Agreement is amended by (i) inserting a new sentence at the beginning thereof as follows: “Section 3.1(K)(i), (ii), and (iv) applies solely to Prepaid Programs.” and (ii) replacing references to “Programs” in Section 3.1(K)(i), (ii), and (iv) with “Prepaid Programs”.</w:t>
      </w:r>
    </w:p>
    <w:p>
      <w:pPr>
        <w:spacing w:after="0" w:line="167" w:lineRule="exact"/>
        <w:rPr>
          <w:rFonts w:ascii="Times New Roman" w:cs="Times New Roman" w:eastAsia="Times New Roman" w:hAnsi="Times New Roman"/>
          <w:sz w:val="20"/>
          <w:szCs w:val="20"/>
          <w:color w:val="auto"/>
        </w:rPr>
      </w:pPr>
    </w:p>
    <w:p>
      <w:pPr>
        <w:ind w:left="4" w:hanging="4"/>
        <w:spacing w:after="0" w:line="283" w:lineRule="auto"/>
        <w:tabs>
          <w:tab w:leader="none" w:pos="6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(L) of Section 3.1 of the Agreement is amended by (i) in the third sentence thereof, replacing “program” with “Prepaid Program” and (ii) in the fourth sentence thereof, replacing “Approved Program” with “Prepaid Program”.</w:t>
      </w:r>
    </w:p>
    <w:p>
      <w:pPr>
        <w:spacing w:after="0" w:line="173" w:lineRule="exact"/>
        <w:rPr>
          <w:rFonts w:ascii="Times New Roman" w:cs="Times New Roman" w:eastAsia="Times New Roman" w:hAnsi="Times New Roman"/>
          <w:sz w:val="20"/>
          <w:szCs w:val="20"/>
          <w:color w:val="auto"/>
        </w:rPr>
      </w:pPr>
    </w:p>
    <w:p>
      <w:pPr>
        <w:ind w:left="4" w:hanging="4"/>
        <w:spacing w:after="0" w:line="283" w:lineRule="auto"/>
        <w:tabs>
          <w:tab w:leader="none" w:pos="6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(N)(i) of Section 3.1 of the Agreement is amended by inserting after “by Distributors” and before “, to track” the following: “or Clients”.</w:t>
      </w:r>
    </w:p>
    <w:p>
      <w:pPr>
        <w:spacing w:after="0" w:line="159" w:lineRule="exact"/>
        <w:rPr>
          <w:rFonts w:ascii="Times New Roman" w:cs="Times New Roman" w:eastAsia="Times New Roman" w:hAnsi="Times New Roman"/>
          <w:sz w:val="20"/>
          <w:szCs w:val="20"/>
          <w:color w:val="auto"/>
        </w:rPr>
      </w:pPr>
    </w:p>
    <w:p>
      <w:pPr>
        <w:ind w:left="4" w:hanging="4"/>
        <w:spacing w:after="0" w:line="297" w:lineRule="auto"/>
        <w:tabs>
          <w:tab w:leader="none" w:pos="65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(N)(ii) of Section 3.1 of the Agreement is amended by inserting in each place it appears, after “any of its Distributors” and before “or Third Party Service Providers” the following: “, Clients”.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584"/>
          </w:cols>
          <w:pgMar w:left="976" w:top="1426" w:right="339" w:bottom="1440" w:gutter="0" w:footer="0" w:header="0"/>
        </w:sectPr>
      </w:pPr>
    </w:p>
    <w:bookmarkStart w:id="133" w:name="page134"/>
    <w:bookmarkEnd w:id="133"/>
    <w:p>
      <w:pPr>
        <w:spacing w:after="0" w:line="203" w:lineRule="exact"/>
        <w:rPr>
          <w:sz w:val="20"/>
          <w:szCs w:val="20"/>
          <w:color w:val="auto"/>
        </w:rPr>
      </w:pPr>
    </w:p>
    <w:p>
      <w:pPr>
        <w:jc w:val="both"/>
        <w:ind w:left="4" w:hanging="4"/>
        <w:spacing w:after="0" w:line="275" w:lineRule="auto"/>
        <w:tabs>
          <w:tab w:leader="none" w:pos="65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(N)(iii) of Section 3.1 of the Agreement is amended by (i) in clause (a), inserting after “the sale of Cards” and before “and/or” the following: “, offering of Cards, authorization of Transactions”, and (ii) in clause (c) replacing the reference to “Card Transaction” with “Transaction”.</w:t>
      </w:r>
    </w:p>
    <w:p>
      <w:pPr>
        <w:spacing w:after="0" w:line="167" w:lineRule="exact"/>
        <w:rPr>
          <w:rFonts w:ascii="Times New Roman" w:cs="Times New Roman" w:eastAsia="Times New Roman" w:hAnsi="Times New Roman"/>
          <w:sz w:val="20"/>
          <w:szCs w:val="20"/>
          <w:color w:val="auto"/>
        </w:rPr>
      </w:pPr>
    </w:p>
    <w:p>
      <w:pPr>
        <w:jc w:val="both"/>
        <w:ind w:left="4" w:hanging="4"/>
        <w:spacing w:after="0" w:line="268" w:lineRule="auto"/>
        <w:tabs>
          <w:tab w:leader="none" w:pos="6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(O)(i) of Section 3.1 of the Agreement is amended by (i) in the second sentence thereof, (A) inserting after “to each” and before “Distributor’s,” the following: “Client’s,” and (B) inserting after “and the” and before “Distribution and Service Agreements” the following: “agreements between Manager and Clients,”, and (ii) in the fourth sentence thereof, inserting after “of any specified” and before “Distributor” the following: “Client,”.</w:t>
      </w:r>
    </w:p>
    <w:p>
      <w:pPr>
        <w:spacing w:after="0" w:line="174" w:lineRule="exact"/>
        <w:rPr>
          <w:rFonts w:ascii="Times New Roman" w:cs="Times New Roman" w:eastAsia="Times New Roman" w:hAnsi="Times New Roman"/>
          <w:sz w:val="20"/>
          <w:szCs w:val="20"/>
          <w:color w:val="auto"/>
        </w:rPr>
      </w:pPr>
    </w:p>
    <w:p>
      <w:pPr>
        <w:jc w:val="both"/>
        <w:ind w:left="4" w:hanging="4"/>
        <w:spacing w:after="0" w:line="275" w:lineRule="auto"/>
        <w:tabs>
          <w:tab w:leader="none" w:pos="65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(O)(ii) of Section 3.1 of the Agreement is amended by (i) inserting after “Manager shall, and shall contractually require its” and before “Distributors” the following: “Clients,”, and (ii) inserting after “abstracts from Manager’s” and before “or a Distributor’s” the following: “, a Client’s”.</w:t>
      </w:r>
    </w:p>
    <w:p>
      <w:pPr>
        <w:spacing w:after="0" w:line="167" w:lineRule="exact"/>
        <w:rPr>
          <w:rFonts w:ascii="Times New Roman" w:cs="Times New Roman" w:eastAsia="Times New Roman" w:hAnsi="Times New Roman"/>
          <w:sz w:val="20"/>
          <w:szCs w:val="20"/>
          <w:color w:val="auto"/>
        </w:rPr>
      </w:pPr>
    </w:p>
    <w:p>
      <w:pPr>
        <w:ind w:left="4" w:hanging="4"/>
        <w:spacing w:after="0" w:line="297" w:lineRule="auto"/>
        <w:tabs>
          <w:tab w:leader="none" w:pos="64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(O)(iii) of Section 3.1 of the Agreement is amended by (i) deleting “and” after “physical address” and before “limiting the Loads” and (ii) inserting at the end of the first sentence thereof before the “.” the following: “, and Debit Flex Cards”.</w:t>
      </w:r>
    </w:p>
    <w:p>
      <w:pPr>
        <w:spacing w:after="0" w:line="146" w:lineRule="exact"/>
        <w:rPr>
          <w:rFonts w:ascii="Times New Roman" w:cs="Times New Roman" w:eastAsia="Times New Roman" w:hAnsi="Times New Roman"/>
          <w:sz w:val="20"/>
          <w:szCs w:val="20"/>
          <w:color w:val="auto"/>
        </w:rPr>
      </w:pPr>
    </w:p>
    <w:p>
      <w:pPr>
        <w:ind w:left="4" w:hanging="4"/>
        <w:spacing w:after="0" w:line="283" w:lineRule="auto"/>
        <w:tabs>
          <w:tab w:leader="none" w:pos="6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(O)(iv) of Section 3.1 of the Agreement is amended by inserting after “contractually require all” and before “Distributors” the following: “Clients,”.</w:t>
      </w:r>
    </w:p>
    <w:p>
      <w:pPr>
        <w:spacing w:after="0" w:line="173" w:lineRule="exact"/>
        <w:rPr>
          <w:rFonts w:ascii="Times New Roman" w:cs="Times New Roman" w:eastAsia="Times New Roman" w:hAnsi="Times New Roman"/>
          <w:sz w:val="20"/>
          <w:szCs w:val="20"/>
          <w:color w:val="auto"/>
        </w:rPr>
      </w:pPr>
    </w:p>
    <w:p>
      <w:pPr>
        <w:jc w:val="both"/>
        <w:ind w:left="4" w:hanging="4"/>
        <w:spacing w:after="0" w:line="268" w:lineRule="auto"/>
        <w:tabs>
          <w:tab w:leader="none" w:pos="6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(P)(ii) of Section 3.1 of the Agreement is amended by (i) inserting after “from Manager or any” and before “Distributor” the following: “Client,” and (ii) inserting after “those maintained by its” and before “Distributors” the following: “Clients,”.</w:t>
      </w:r>
    </w:p>
    <w:p>
      <w:pPr>
        <w:spacing w:after="0" w:line="188" w:lineRule="exact"/>
        <w:rPr>
          <w:rFonts w:ascii="Times New Roman" w:cs="Times New Roman" w:eastAsia="Times New Roman" w:hAnsi="Times New Roman"/>
          <w:sz w:val="20"/>
          <w:szCs w:val="20"/>
          <w:color w:val="auto"/>
        </w:rPr>
      </w:pPr>
    </w:p>
    <w:p>
      <w:pPr>
        <w:ind w:left="4" w:hanging="4"/>
        <w:spacing w:after="0" w:line="283" w:lineRule="auto"/>
        <w:tabs>
          <w:tab w:leader="none" w:pos="6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(P)(iii) of Section 3.1 of the Agreement is amended by inserting after “or a Marketer’s” and before “or Distributor’s” the following: “, Client’s”.</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Subsections (S), (T), and (U) are added to Section 3.1 of the Agreement as follows:</w:t>
      </w:r>
    </w:p>
    <w:p>
      <w:pPr>
        <w:spacing w:after="0" w:line="242" w:lineRule="exact"/>
        <w:rPr>
          <w:rFonts w:ascii="Times New Roman" w:cs="Times New Roman" w:eastAsia="Times New Roman" w:hAnsi="Times New Roman"/>
          <w:sz w:val="20"/>
          <w:szCs w:val="20"/>
          <w:color w:val="auto"/>
        </w:rPr>
      </w:pPr>
    </w:p>
    <w:p>
      <w:pPr>
        <w:ind w:left="1744" w:hanging="448"/>
        <w:spacing w:after="0"/>
        <w:tabs>
          <w:tab w:leader="none" w:pos="1744"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 for Debit Flex Programs; FBO Account</w:t>
      </w:r>
      <w:r>
        <w:rPr>
          <w:rFonts w:ascii="Times New Roman" w:cs="Times New Roman" w:eastAsia="Times New Roman" w:hAnsi="Times New Roman"/>
          <w:sz w:val="19"/>
          <w:szCs w:val="19"/>
          <w:color w:val="auto"/>
        </w:rPr>
        <w:t>. This Section 3.1(S) applies solely to Debit Flex Programs.</w:t>
      </w:r>
    </w:p>
    <w:p>
      <w:pPr>
        <w:spacing w:after="0" w:line="132" w:lineRule="exact"/>
        <w:rPr>
          <w:rFonts w:ascii="Times New Roman" w:cs="Times New Roman" w:eastAsia="Times New Roman" w:hAnsi="Times New Roman"/>
          <w:sz w:val="19"/>
          <w:szCs w:val="19"/>
          <w:color w:val="auto"/>
        </w:rPr>
      </w:pPr>
    </w:p>
    <w:p>
      <w:pPr>
        <w:jc w:val="both"/>
        <w:ind w:left="1304" w:firstLine="640"/>
        <w:spacing w:after="0" w:line="261" w:lineRule="auto"/>
        <w:tabs>
          <w:tab w:leader="none" w:pos="2355"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funds received from a Client or customers in connection with deposits under a Debit Flex Program shall be handled in accordance with the terms of the Program Documents and this Amended Program Manager Agreement (Manager acknowledges and agrees that the requirements under the Program Documents shall supersede any conflicting obligations or restrictions in this Amended Program Manager Agreement); provided that Manager agrees that all such funds shall be held on behalf of Cardholders and as provided in the Program Documents and the Cardholder Agreement and Manager shall ensure (and cause all Clients to ensure) that no claims, liens, nor any actions of ownership or possession of such funds will be permitted by any party other than Manager, Client, Cardholder, the Networks, or Sutton Bank (as applicable).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584"/>
          </w:cols>
          <w:pgMar w:left="976" w:top="1440" w:right="339" w:bottom="1440" w:gutter="0" w:footer="0" w:header="0"/>
        </w:sectPr>
      </w:pPr>
    </w:p>
    <w:bookmarkStart w:id="134" w:name="page135"/>
    <w:bookmarkEnd w:id="134"/>
    <w:p>
      <w:pPr>
        <w:jc w:val="both"/>
        <w:ind w:left="840" w:firstLine="640"/>
        <w:spacing w:after="0" w:line="261" w:lineRule="auto"/>
        <w:tabs>
          <w:tab w:leader="none" w:pos="205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Debit Flex Program, Manager shall cause the related Client to establish and maintain a demand deposit account to be titled “[Client] for the benefit of Debit Flex [Program Title] Cardholders, as agent” or such other title as shall be agreed upon by Sutton Bank and such Client that sets forth the agency nature of such account (each an “</w:t>
      </w:r>
      <w:r>
        <w:rPr>
          <w:rFonts w:ascii="Times New Roman" w:cs="Times New Roman" w:eastAsia="Times New Roman" w:hAnsi="Times New Roman"/>
          <w:sz w:val="20"/>
          <w:szCs w:val="20"/>
          <w:b w:val="1"/>
          <w:bCs w:val="1"/>
          <w:color w:val="auto"/>
        </w:rPr>
        <w:t>FBO Account</w:t>
      </w:r>
      <w:r>
        <w:rPr>
          <w:rFonts w:ascii="Times New Roman" w:cs="Times New Roman" w:eastAsia="Times New Roman" w:hAnsi="Times New Roman"/>
          <w:sz w:val="20"/>
          <w:szCs w:val="20"/>
          <w:color w:val="auto"/>
        </w:rPr>
        <w:t xml:space="preserve">”). Manager shall ensure that each FBO Account holds adequate funds belonging to Debit Flex Card Cardholders participating in the applicable Debit Flex Program to cover such Cardholder’s Transactions to be settled with the applicable Network on a given day. Without limiting the foregoing, Manager shall ensure that each such FBO Account maintains a minimum balance each day to be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Funds held in each FBO Account for each Debit Flex Cardholder shall be in U.S. Dollars in accordance with the terms of this Amended Program Manager Agreement. Sutton Bank shall have no obligation to authorize or settle Transactions if there are insufficient funds in the applicable FBO Account. Each FBO Account shall be used solely to hold funds of Debit Flex Card Cardholders participating in the applicable Debit Flex Program. Manager and Sutton Bank agree that all funds held in each FBO Account belong such Debit Flex Card Cardholders; shall not be paid at any time to Manager; and shall be kept separate by Sutton Bank from all other accounts maintained by Sutton Bank for any Person. Manager shall have no right, title or interest in any FBO Account, or the funds therein.</w:t>
      </w:r>
    </w:p>
    <w:p>
      <w:pPr>
        <w:spacing w:after="0" w:line="76" w:lineRule="exact"/>
        <w:rPr>
          <w:rFonts w:ascii="Times New Roman" w:cs="Times New Roman" w:eastAsia="Times New Roman" w:hAnsi="Times New Roman"/>
          <w:sz w:val="20"/>
          <w:szCs w:val="20"/>
          <w:color w:val="auto"/>
        </w:rPr>
      </w:pPr>
    </w:p>
    <w:p>
      <w:pPr>
        <w:jc w:val="both"/>
        <w:ind w:left="840" w:hanging="8"/>
        <w:spacing w:after="0" w:line="259" w:lineRule="auto"/>
        <w:tabs>
          <w:tab w:leader="none" w:pos="134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Recordkeeping for Debit Flex Programs</w:t>
      </w:r>
      <w:r>
        <w:rPr>
          <w:rFonts w:ascii="Times New Roman" w:cs="Times New Roman" w:eastAsia="Times New Roman" w:hAnsi="Times New Roman"/>
          <w:sz w:val="20"/>
          <w:szCs w:val="20"/>
          <w:color w:val="auto"/>
        </w:rPr>
        <w:t>. In addition to Manager’s obligations set forth in Section 3.1(P) but only to the extent that the applicable Client for each respective Debit Flex Program is not maintaining such records, Manager will maintain records of beneficial ownership for each FBO Account in the data format and layout specified by Sutton Bank from time to time (“</w:t>
      </w:r>
      <w:r>
        <w:rPr>
          <w:rFonts w:ascii="Times New Roman" w:cs="Times New Roman" w:eastAsia="Times New Roman" w:hAnsi="Times New Roman"/>
          <w:sz w:val="20"/>
          <w:szCs w:val="20"/>
          <w:b w:val="1"/>
          <w:bCs w:val="1"/>
          <w:color w:val="auto"/>
        </w:rPr>
        <w:t>FBO Data</w:t>
      </w:r>
      <w:r>
        <w:rPr>
          <w:rFonts w:ascii="Times New Roman" w:cs="Times New Roman" w:eastAsia="Times New Roman" w:hAnsi="Times New Roman"/>
          <w:sz w:val="20"/>
          <w:szCs w:val="20"/>
          <w:color w:val="auto"/>
        </w:rPr>
        <w:t>”) in accordance with Applicable Law and as required to satisfy FDIC pass-through insurance requirements pursuant to FDIC guidance as may be updated from time to time. If such FBO Data is maintained by a Client, Manager shall ensure that such Client maintains the FBO Data in the data format and layout specified by Sutton Bank from time to time, in accordance with Applicable Law and as required to satisfy FDIC pass-through insurance requirements pursuant to FDIC guidance as may be updated from time to time. In the event that Manager maintains records of beneficial ownership for each FBO Account, then on a daily basis, or more frequently to the extent required by Applicable Law, Manager shall provide the FBO Data to Sutton Bank. Manager’s business continuity plan shall include backup recordkeeping and technical capabilities to ensure compliance with this Section 3.1(T). In the event that Manager maintains records of beneficial ownership for each FBO Account, Manager shall develop and maintain internal controls to accurately determine the respective beneficial ownership interests associated with each FBO Account and conduct reconciliations against the beneficial ownership records no less frequently than the close of each Business Day. If a Client maintains the FBO Data, Manager shall ensure that such Client complies with the requirements set forth in this Section 3.1(T). Manager shall ensure that Sutton Bank has access to all FBO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120"/>
          </w:cols>
          <w:pgMar w:left="1440" w:top="1426" w:right="339" w:bottom="1440" w:gutter="0" w:footer="0" w:header="0"/>
        </w:sectPr>
      </w:pPr>
    </w:p>
    <w:bookmarkStart w:id="135" w:name="page136"/>
    <w:bookmarkEnd w:id="135"/>
    <w:p>
      <w:pPr>
        <w:ind w:left="1960"/>
        <w:spacing w:after="0" w:line="283" w:lineRule="auto"/>
        <w:rPr>
          <w:sz w:val="20"/>
          <w:szCs w:val="20"/>
          <w:color w:val="auto"/>
        </w:rPr>
      </w:pPr>
      <w:r>
        <w:rPr>
          <w:rFonts w:ascii="Times New Roman" w:cs="Times New Roman" w:eastAsia="Times New Roman" w:hAnsi="Times New Roman"/>
          <w:sz w:val="20"/>
          <w:szCs w:val="20"/>
          <w:color w:val="auto"/>
        </w:rPr>
        <w:t xml:space="preserve">Data, whether held by Manager or a third party, including a Client. (U) As between Manager and Sutton Bank, Manager will be responsible for </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3.2 Sutton Bank Responsibilities</w:t>
      </w:r>
      <w:r>
        <w:rPr>
          <w:rFonts w:ascii="Times New Roman" w:cs="Times New Roman" w:eastAsia="Times New Roman" w:hAnsi="Times New Roman"/>
          <w:sz w:val="20"/>
          <w:szCs w:val="20"/>
          <w:color w:val="auto"/>
        </w:rPr>
        <w:t>. As of the Tenth Amendment Effective Date,</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(A) of Section 3.2 of the Agreement is replaced in its entirety with the following:</w:t>
      </w:r>
    </w:p>
    <w:p>
      <w:pPr>
        <w:spacing w:after="0" w:line="24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3"/>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Sutton Bank Services</w:t>
      </w:r>
      <w:r>
        <w:rPr>
          <w:rFonts w:ascii="Times New Roman" w:cs="Times New Roman" w:eastAsia="Times New Roman" w:hAnsi="Times New Roman"/>
          <w:sz w:val="20"/>
          <w:szCs w:val="20"/>
          <w:color w:val="auto"/>
        </w:rPr>
        <w:t>. Sutton Bank shall be responsible for providing the Sutton Bank Services.</w:t>
      </w:r>
    </w:p>
    <w:p>
      <w:pPr>
        <w:spacing w:after="0" w:line="229" w:lineRule="exact"/>
        <w:rPr>
          <w:rFonts w:ascii="Times New Roman" w:cs="Times New Roman" w:eastAsia="Times New Roman" w:hAnsi="Times New Roman"/>
          <w:sz w:val="20"/>
          <w:szCs w:val="20"/>
          <w:color w:val="auto"/>
        </w:rPr>
      </w:pPr>
    </w:p>
    <w:p>
      <w:pPr>
        <w:ind w:left="660" w:hanging="4"/>
        <w:spacing w:after="0" w:line="283" w:lineRule="auto"/>
        <w:tabs>
          <w:tab w:leader="none" w:pos="1296"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Subsection (C) of Section 3.2 of the Agreement is amended by inserting after “authorized agents” and before “Distributors” the following: “, Clients,”.</w:t>
      </w:r>
    </w:p>
    <w:p>
      <w:pPr>
        <w:spacing w:after="0" w:line="169" w:lineRule="exact"/>
        <w:rPr>
          <w:rFonts w:ascii="Times New Roman" w:cs="Times New Roman" w:eastAsia="Times New Roman" w:hAnsi="Times New Roman"/>
          <w:sz w:val="20"/>
          <w:szCs w:val="20"/>
          <w:color w:val="auto"/>
        </w:rPr>
      </w:pPr>
    </w:p>
    <w:p>
      <w:pPr>
        <w:jc w:val="both"/>
        <w:ind w:firstLine="8"/>
        <w:spacing w:after="0" w:line="270" w:lineRule="auto"/>
        <w:tabs>
          <w:tab w:leader="none" w:pos="63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5.1 Compliance with Applicable Law</w:t>
      </w:r>
      <w:r>
        <w:rPr>
          <w:rFonts w:ascii="Times New Roman" w:cs="Times New Roman" w:eastAsia="Times New Roman" w:hAnsi="Times New Roman"/>
          <w:sz w:val="20"/>
          <w:szCs w:val="20"/>
          <w:color w:val="auto"/>
        </w:rPr>
        <w:t>. As of the Tenth Amendment Effective Date, Section 5.1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is amended by (a) inserting after “obligate its” and before “Distributors” the following: “Clients,”, and (c) inserting after “terminate this Amended Program Manager Agreement” and before “by giving written notice” the following: “or any Program hereunder”.</w:t>
      </w:r>
    </w:p>
    <w:p>
      <w:pPr>
        <w:spacing w:after="0" w:line="18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5.4 BSA/AML/OFAC Compliance</w:t>
      </w:r>
      <w:r>
        <w:rPr>
          <w:rFonts w:ascii="Times New Roman" w:cs="Times New Roman" w:eastAsia="Times New Roman" w:hAnsi="Times New Roman"/>
          <w:sz w:val="20"/>
          <w:szCs w:val="20"/>
          <w:color w:val="auto"/>
        </w:rPr>
        <w:t>. As of the Tenth Amendment Effective Date,</w:t>
      </w:r>
    </w:p>
    <w:p>
      <w:pPr>
        <w:spacing w:after="0" w:line="233" w:lineRule="exact"/>
        <w:rPr>
          <w:rFonts w:ascii="Times New Roman" w:cs="Times New Roman" w:eastAsia="Times New Roman" w:hAnsi="Times New Roman"/>
          <w:sz w:val="20"/>
          <w:szCs w:val="20"/>
          <w:color w:val="auto"/>
        </w:rPr>
      </w:pPr>
    </w:p>
    <w:p>
      <w:pPr>
        <w:jc w:val="both"/>
        <w:ind w:left="660" w:right="20" w:hanging="4"/>
        <w:spacing w:after="0" w:line="275" w:lineRule="auto"/>
        <w:tabs>
          <w:tab w:leader="none" w:pos="129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5.4(B) of the Agreement is amended by (i) inserting in the first sentence thereof, after “that each” and before “Distributor” the following: “Client,”, and (ii) inserting in the second sentence thereof, after “and any” and before “Distributors” the following: “Clients or”.</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5.4(C)(i) of the Agreement is replaced in its entirety with the following:</w:t>
      </w:r>
    </w:p>
    <w:p>
      <w:pPr>
        <w:spacing w:after="0" w:line="229" w:lineRule="exact"/>
        <w:rPr>
          <w:rFonts w:ascii="Times New Roman" w:cs="Times New Roman" w:eastAsia="Times New Roman" w:hAnsi="Times New Roman"/>
          <w:sz w:val="20"/>
          <w:szCs w:val="20"/>
          <w:color w:val="auto"/>
        </w:rPr>
      </w:pPr>
    </w:p>
    <w:p>
      <w:pPr>
        <w:jc w:val="both"/>
        <w:ind w:left="1960" w:hanging="656"/>
        <w:spacing w:after="0" w:line="265" w:lineRule="auto"/>
        <w:tabs>
          <w:tab w:leader="none" w:pos="1958"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with respect to Debit Flex Programs, at the time an Applicant completes an application for a Debit Flex Card but prior to approval, or (2) prior to Activation, with respect to Prepaid Programs that establish an ongoing relationship with a Cardholder or allow for re-Loads or cash withdrawals, in each case, Manager shall obtain, record and verify customer identification information regarding each such Cardholder in accordance with Applicable Law, and shall be responsible for ensuring that each such Cardholder meets Sutton Bank’s Customer Identification Program as required by Applicable Law and the Bank BSA/AML/OFAC Requirements;</w:t>
      </w:r>
    </w:p>
    <w:p>
      <w:pPr>
        <w:spacing w:after="0" w:line="177" w:lineRule="exact"/>
        <w:rPr>
          <w:rFonts w:ascii="Times New Roman" w:cs="Times New Roman" w:eastAsia="Times New Roman" w:hAnsi="Times New Roman"/>
          <w:sz w:val="20"/>
          <w:szCs w:val="20"/>
          <w:color w:val="auto"/>
        </w:rPr>
      </w:pPr>
    </w:p>
    <w:p>
      <w:pPr>
        <w:ind w:left="660" w:right="20" w:hanging="4"/>
        <w:spacing w:after="0" w:line="297" w:lineRule="auto"/>
        <w:tabs>
          <w:tab w:leader="none" w:pos="129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5.4(C)(ii) is amended by inserting after “prior to activation of a Card” and before “and periodically thereafter” the following: “or prior to approval of a Debit Flex Card”.</w:t>
      </w:r>
    </w:p>
    <w:p>
      <w:pPr>
        <w:spacing w:after="0" w:line="142" w:lineRule="exact"/>
        <w:rPr>
          <w:rFonts w:ascii="Times New Roman" w:cs="Times New Roman" w:eastAsia="Times New Roman" w:hAnsi="Times New Roman"/>
          <w:sz w:val="20"/>
          <w:szCs w:val="20"/>
          <w:color w:val="auto"/>
        </w:rPr>
      </w:pPr>
    </w:p>
    <w:p>
      <w:pPr>
        <w:ind w:firstLine="8"/>
        <w:spacing w:after="0" w:line="287" w:lineRule="auto"/>
        <w:tabs>
          <w:tab w:leader="none" w:pos="63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5.5 Disclosure of Key Card Terms</w:t>
      </w:r>
      <w:r>
        <w:rPr>
          <w:rFonts w:ascii="Times New Roman" w:cs="Times New Roman" w:eastAsia="Times New Roman" w:hAnsi="Times New Roman"/>
          <w:sz w:val="20"/>
          <w:szCs w:val="20"/>
          <w:color w:val="auto"/>
        </w:rPr>
        <w:t>. As of the Tenth Amendment Effective Date, Section 5.5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is amended by inserting after “and Manager staff” and before “and its Distributors” the following: “its Clients,”.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6" w:right="339" w:bottom="1440" w:gutter="0" w:footer="0" w:header="0"/>
        </w:sectPr>
      </w:pPr>
    </w:p>
    <w:bookmarkStart w:id="136" w:name="page137"/>
    <w:bookmarkEnd w:id="136"/>
    <w:p>
      <w:pPr>
        <w:spacing w:after="0" w:line="199" w:lineRule="exact"/>
        <w:rPr>
          <w:sz w:val="20"/>
          <w:szCs w:val="20"/>
          <w:color w:val="auto"/>
        </w:rPr>
      </w:pPr>
    </w:p>
    <w:p>
      <w:pPr>
        <w:jc w:val="both"/>
        <w:ind w:firstLine="8"/>
        <w:spacing w:after="0" w:line="287" w:lineRule="auto"/>
        <w:tabs>
          <w:tab w:leader="none" w:pos="63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Amendment to Section 5.10 Regulation E Compliance (12 C.F.R. 1005)</w:t>
      </w:r>
      <w:r>
        <w:rPr>
          <w:rFonts w:ascii="Times New Roman" w:cs="Times New Roman" w:eastAsia="Times New Roman" w:hAnsi="Times New Roman"/>
          <w:sz w:val="19"/>
          <w:szCs w:val="19"/>
          <w:color w:val="auto"/>
        </w:rPr>
        <w:t>. As of the Tenth Amendment Effective Date, Section 5.10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Agreement is amended by inserting at the end thereof the following: “Manager shall adopt policies and procedures to ensure that Manager, and each of its Clients, Distributors, Marketers, or Third Party Service Providers participating in a Debit Flex Program comply with the EFTA provisions applicable to the type of “account” (as defined in 12 C.F.R. § 1005.2(b)) offered under such Debit Flex Program.”</w:t>
      </w:r>
    </w:p>
    <w:p>
      <w:pPr>
        <w:spacing w:after="0" w:line="156" w:lineRule="exact"/>
        <w:rPr>
          <w:rFonts w:ascii="Times New Roman" w:cs="Times New Roman" w:eastAsia="Times New Roman" w:hAnsi="Times New Roman"/>
          <w:sz w:val="19"/>
          <w:szCs w:val="19"/>
          <w:color w:val="auto"/>
        </w:rPr>
      </w:pPr>
    </w:p>
    <w:p>
      <w:pPr>
        <w:ind w:right="20" w:firstLine="8"/>
        <w:spacing w:after="0" w:line="301"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5.11 Criticisms, Complaints, and Legal Actions</w:t>
      </w:r>
      <w:r>
        <w:rPr>
          <w:rFonts w:ascii="Times New Roman" w:cs="Times New Roman" w:eastAsia="Times New Roman" w:hAnsi="Times New Roman"/>
          <w:sz w:val="20"/>
          <w:szCs w:val="20"/>
          <w:color w:val="auto"/>
        </w:rPr>
        <w:t>. As of the Tenth Amendment Effective Date, Section 5.11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is amended by adding at the end thereof, subsection (E) as follows:</w:t>
      </w:r>
    </w:p>
    <w:p>
      <w:pPr>
        <w:spacing w:after="0" w:line="142" w:lineRule="exact"/>
        <w:rPr>
          <w:rFonts w:ascii="Times New Roman" w:cs="Times New Roman" w:eastAsia="Times New Roman" w:hAnsi="Times New Roman"/>
          <w:sz w:val="20"/>
          <w:szCs w:val="20"/>
          <w:color w:val="auto"/>
        </w:rPr>
      </w:pPr>
    </w:p>
    <w:p>
      <w:pPr>
        <w:jc w:val="both"/>
        <w:ind w:left="660" w:hanging="4"/>
        <w:spacing w:after="0" w:line="275" w:lineRule="auto"/>
        <w:tabs>
          <w:tab w:leader="none" w:pos="111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Manager shall, and shall ensure that its Clients, Distributors, Marketers, and Third Party Service Providers shall, cooperate with and provide information to Sutton Bank in responding to a Regulatory Authority’s or a Network’s inquiries and requests related to a Program.</w:t>
      </w:r>
    </w:p>
    <w:p>
      <w:pPr>
        <w:spacing w:after="0" w:line="163" w:lineRule="exact"/>
        <w:rPr>
          <w:rFonts w:ascii="Times New Roman" w:cs="Times New Roman" w:eastAsia="Times New Roman" w:hAnsi="Times New Roman"/>
          <w:sz w:val="20"/>
          <w:szCs w:val="20"/>
          <w:color w:val="auto"/>
        </w:rPr>
      </w:pPr>
    </w:p>
    <w:p>
      <w:pPr>
        <w:jc w:val="both"/>
        <w:ind w:firstLine="8"/>
        <w:spacing w:after="0" w:line="277"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5.12 Manager State and Federal Licensing and Registration Requirements</w:t>
      </w:r>
      <w:r>
        <w:rPr>
          <w:rFonts w:ascii="Times New Roman" w:cs="Times New Roman" w:eastAsia="Times New Roman" w:hAnsi="Times New Roman"/>
          <w:sz w:val="20"/>
          <w:szCs w:val="20"/>
          <w:color w:val="auto"/>
        </w:rPr>
        <w:t>. As of the Tenth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Effective Date, Section 5.12 of the Agreement is amended by inserting in each place that it appears, after “ensure that each” and before “Distributor” the following: “Client,”.</w:t>
      </w:r>
    </w:p>
    <w:p>
      <w:pPr>
        <w:spacing w:after="0" w:line="162" w:lineRule="exact"/>
        <w:rPr>
          <w:rFonts w:ascii="Times New Roman" w:cs="Times New Roman" w:eastAsia="Times New Roman" w:hAnsi="Times New Roman"/>
          <w:sz w:val="20"/>
          <w:szCs w:val="20"/>
          <w:color w:val="auto"/>
        </w:rPr>
      </w:pPr>
    </w:p>
    <w:p>
      <w:pPr>
        <w:jc w:val="both"/>
        <w:ind w:firstLine="8"/>
        <w:spacing w:after="0" w:line="277"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5.14 Network Obligations</w:t>
      </w:r>
      <w:r>
        <w:rPr>
          <w:rFonts w:ascii="Times New Roman" w:cs="Times New Roman" w:eastAsia="Times New Roman" w:hAnsi="Times New Roman"/>
          <w:sz w:val="20"/>
          <w:szCs w:val="20"/>
          <w:color w:val="auto"/>
        </w:rPr>
        <w:t>. As of the Tenth Amendment Effective Date, clause (i) of Section 5.14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by inserting after “related to Manager’s” and before “acts or omissions” the following: “Client’s, Distributor’s, Marketer’s, or a Third Party Service Provider’s”.</w:t>
      </w:r>
    </w:p>
    <w:p>
      <w:pPr>
        <w:spacing w:after="0" w:line="162" w:lineRule="exact"/>
        <w:rPr>
          <w:rFonts w:ascii="Times New Roman" w:cs="Times New Roman" w:eastAsia="Times New Roman" w:hAnsi="Times New Roman"/>
          <w:sz w:val="20"/>
          <w:szCs w:val="20"/>
          <w:color w:val="auto"/>
        </w:rPr>
      </w:pPr>
    </w:p>
    <w:p>
      <w:pPr>
        <w:jc w:val="both"/>
        <w:ind w:firstLine="8"/>
        <w:spacing w:after="0" w:line="277"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5.15 FDIC Pass-Through Insurance</w:t>
      </w:r>
      <w:r>
        <w:rPr>
          <w:rFonts w:ascii="Times New Roman" w:cs="Times New Roman" w:eastAsia="Times New Roman" w:hAnsi="Times New Roman"/>
          <w:sz w:val="20"/>
          <w:szCs w:val="20"/>
          <w:color w:val="auto"/>
        </w:rPr>
        <w:t>. As of the Tenth Amendment Effective Date, Section 5.15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is amended by (a) replacing “Cards” with “Prepaid Cards” (b) replacing “Program” with “Prepaid Program” and (c) replacing “Programs” with “Prepaid Programs”.</w:t>
      </w:r>
    </w:p>
    <w:p>
      <w:pPr>
        <w:spacing w:after="0" w:line="162" w:lineRule="exact"/>
        <w:rPr>
          <w:rFonts w:ascii="Times New Roman" w:cs="Times New Roman" w:eastAsia="Times New Roman" w:hAnsi="Times New Roman"/>
          <w:sz w:val="20"/>
          <w:szCs w:val="20"/>
          <w:color w:val="auto"/>
        </w:rPr>
      </w:pPr>
    </w:p>
    <w:p>
      <w:pPr>
        <w:ind w:right="20" w:firstLine="8"/>
        <w:spacing w:after="0" w:line="287"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Article V – Program Compliance</w:t>
      </w:r>
      <w:r>
        <w:rPr>
          <w:rFonts w:ascii="Times New Roman" w:cs="Times New Roman" w:eastAsia="Times New Roman" w:hAnsi="Times New Roman"/>
          <w:sz w:val="20"/>
          <w:szCs w:val="20"/>
          <w:color w:val="auto"/>
        </w:rPr>
        <w:t>. As of the Tenth Amendment Effective Date, Article V of the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by adding at the end thereof, Section 5.16 as follows:</w:t>
      </w:r>
    </w:p>
    <w:p>
      <w:pPr>
        <w:spacing w:after="0" w:line="16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5.16</w:t>
      </w:r>
      <w:r>
        <w:rPr>
          <w:sz w:val="20"/>
          <w:szCs w:val="20"/>
          <w:color w:val="auto"/>
        </w:rPr>
        <w:tab/>
      </w:r>
      <w:r>
        <w:rPr>
          <w:rFonts w:ascii="Times New Roman" w:cs="Times New Roman" w:eastAsia="Times New Roman" w:hAnsi="Times New Roman"/>
          <w:sz w:val="19"/>
          <w:szCs w:val="19"/>
          <w:b w:val="1"/>
          <w:bCs w:val="1"/>
          <w:color w:val="auto"/>
        </w:rPr>
        <w:t>FDIC Advertising Rule</w:t>
      </w:r>
    </w:p>
    <w:p>
      <w:pPr>
        <w:spacing w:after="0" w:line="125" w:lineRule="exact"/>
        <w:rPr>
          <w:sz w:val="20"/>
          <w:szCs w:val="20"/>
          <w:color w:val="auto"/>
        </w:rPr>
      </w:pPr>
    </w:p>
    <w:p>
      <w:pPr>
        <w:jc w:val="both"/>
        <w:ind w:left="660" w:firstLine="252"/>
        <w:spacing w:after="0" w:line="275" w:lineRule="auto"/>
        <w:rPr>
          <w:sz w:val="20"/>
          <w:szCs w:val="20"/>
          <w:color w:val="auto"/>
        </w:rPr>
      </w:pPr>
      <w:r>
        <w:rPr>
          <w:rFonts w:ascii="Times New Roman" w:cs="Times New Roman" w:eastAsia="Times New Roman" w:hAnsi="Times New Roman"/>
          <w:sz w:val="20"/>
          <w:szCs w:val="20"/>
          <w:color w:val="auto"/>
        </w:rPr>
        <w:t>Manager shall ensure that all materials used in connection with a Program comply, to the extent applicable, with 12 C.F.R. Part 328 (FDIC Official Signs, Advertisement of Membership, False Advertising, Misrepresentation of Insured Status, and Misuse of the FDIC’s Name or Logo).</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9" w:lineRule="exact"/>
        <w:rPr>
          <w:sz w:val="20"/>
          <w:szCs w:val="20"/>
          <w:color w:val="auto"/>
        </w:rPr>
      </w:pPr>
    </w:p>
    <w:p>
      <w:pPr>
        <w:jc w:val="both"/>
        <w:ind w:firstLine="8"/>
        <w:spacing w:after="0" w:line="277" w:lineRule="auto"/>
        <w:tabs>
          <w:tab w:leader="none" w:pos="63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6.3 Changes to Agreements</w:t>
      </w:r>
      <w:r>
        <w:rPr>
          <w:rFonts w:ascii="Times New Roman" w:cs="Times New Roman" w:eastAsia="Times New Roman" w:hAnsi="Times New Roman"/>
          <w:sz w:val="20"/>
          <w:szCs w:val="20"/>
          <w:color w:val="auto"/>
        </w:rPr>
        <w:t>. As of the Tenth Amendment Effective Date, Section 6.3 of the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by inserting after “that Manager modify” and before “the Standards Terms” the following: “the terms of any agreement between Manager and a Client or”.</w:t>
      </w:r>
    </w:p>
    <w:p>
      <w:pPr>
        <w:spacing w:after="0" w:line="162" w:lineRule="exact"/>
        <w:rPr>
          <w:rFonts w:ascii="Times New Roman" w:cs="Times New Roman" w:eastAsia="Times New Roman" w:hAnsi="Times New Roman"/>
          <w:sz w:val="20"/>
          <w:szCs w:val="20"/>
          <w:color w:val="auto"/>
        </w:rPr>
      </w:pPr>
    </w:p>
    <w:p>
      <w:pPr>
        <w:ind w:firstLine="8"/>
        <w:spacing w:after="0" w:line="287" w:lineRule="auto"/>
        <w:tabs>
          <w:tab w:leader="none" w:pos="63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6.4 Compliance by Distributors, Marketers, and Third Party Service Providers</w:t>
      </w:r>
      <w:r>
        <w:rPr>
          <w:rFonts w:ascii="Times New Roman" w:cs="Times New Roman" w:eastAsia="Times New Roman" w:hAnsi="Times New Roman"/>
          <w:sz w:val="20"/>
          <w:szCs w:val="20"/>
          <w:color w:val="auto"/>
        </w:rPr>
        <w:t>. As of the Tenth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Effective Date,</w:t>
      </w:r>
    </w:p>
    <w:p>
      <w:pPr>
        <w:spacing w:after="0" w:line="169" w:lineRule="exact"/>
        <w:rPr>
          <w:rFonts w:ascii="Times New Roman" w:cs="Times New Roman" w:eastAsia="Times New Roman" w:hAnsi="Times New Roman"/>
          <w:sz w:val="20"/>
          <w:szCs w:val="20"/>
          <w:color w:val="auto"/>
        </w:rPr>
      </w:pPr>
    </w:p>
    <w:p>
      <w:pPr>
        <w:ind w:left="660" w:hanging="4"/>
        <w:spacing w:after="0" w:line="283" w:lineRule="auto"/>
        <w:tabs>
          <w:tab w:leader="none" w:pos="129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6.4(A) of the Agreement is amended by (i) inserting after “the conduct of” and before “Distributors” the following: “Clients,” and (ii) inserting after “and their respective” and before “Distributor” the following: “Client,”</w:t>
      </w:r>
    </w:p>
    <w:p>
      <w:pPr>
        <w:spacing w:after="0" w:line="159" w:lineRule="exact"/>
        <w:rPr>
          <w:rFonts w:ascii="Times New Roman" w:cs="Times New Roman" w:eastAsia="Times New Roman" w:hAnsi="Times New Roman"/>
          <w:sz w:val="20"/>
          <w:szCs w:val="20"/>
          <w:color w:val="auto"/>
        </w:rPr>
      </w:pPr>
    </w:p>
    <w:p>
      <w:pPr>
        <w:ind w:left="660" w:hanging="4"/>
        <w:spacing w:after="0" w:line="297" w:lineRule="auto"/>
        <w:tabs>
          <w:tab w:leader="none" w:pos="129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6.4(B) of the Agreement is amended by (i) inserting after “Manager’s” and before “a Distributor’s” the following: “a Client’s” and (ii) inserting after “or the applicable” and before “Distributor,” the following: “Client,”.</w:t>
      </w:r>
    </w:p>
    <w:p>
      <w:pPr>
        <w:spacing w:after="0" w:line="142" w:lineRule="exact"/>
        <w:rPr>
          <w:rFonts w:ascii="Times New Roman" w:cs="Times New Roman" w:eastAsia="Times New Roman" w:hAnsi="Times New Roman"/>
          <w:sz w:val="20"/>
          <w:szCs w:val="20"/>
          <w:color w:val="auto"/>
        </w:rPr>
      </w:pPr>
    </w:p>
    <w:p>
      <w:pPr>
        <w:ind w:right="20" w:firstLine="8"/>
        <w:spacing w:after="0" w:line="287" w:lineRule="auto"/>
        <w:tabs>
          <w:tab w:leader="none" w:pos="63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6.5 Denial or Termination of Distributor, Marketer, or Third Party Service Provider</w:t>
      </w:r>
      <w:r>
        <w:rPr>
          <w:rFonts w:ascii="Times New Roman" w:cs="Times New Roman" w:eastAsia="Times New Roman" w:hAnsi="Times New Roman"/>
          <w:sz w:val="20"/>
          <w:szCs w:val="20"/>
          <w:color w:val="auto"/>
        </w:rPr>
        <w:t>. As of the Tenth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Effective Date,</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of Section 6.5 is amended by inserting after “Termination of” and before “Distributor” the following: “Client,”;</w:t>
      </w:r>
    </w:p>
    <w:p>
      <w:pPr>
        <w:spacing w:after="0" w:line="229" w:lineRule="exact"/>
        <w:rPr>
          <w:rFonts w:ascii="Times New Roman" w:cs="Times New Roman" w:eastAsia="Times New Roman" w:hAnsi="Times New Roman"/>
          <w:sz w:val="20"/>
          <w:szCs w:val="20"/>
          <w:color w:val="auto"/>
        </w:rPr>
      </w:pPr>
    </w:p>
    <w:p>
      <w:pPr>
        <w:jc w:val="both"/>
        <w:ind w:left="660" w:hanging="4"/>
        <w:spacing w:after="0" w:line="296" w:lineRule="auto"/>
        <w:tabs>
          <w:tab w:leader="none" w:pos="129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6.5(A) is amended by (i) inserting after “to become a” and before “Distributor” the following: “Client,”, (ii) inserting after “continue permitting any” and before “Distributor” the following; “Client,”, (iii) inserting after “to terminate any” and before “Distributor” the following; “Client,” and (iv) inserting after “judgment, such” and before “Distributor” the following: “Client,”;</w:t>
      </w:r>
    </w:p>
    <w:p>
      <w:pPr>
        <w:spacing w:after="0" w:line="150" w:lineRule="exact"/>
        <w:rPr>
          <w:rFonts w:ascii="Times New Roman" w:cs="Times New Roman" w:eastAsia="Times New Roman" w:hAnsi="Times New Roman"/>
          <w:sz w:val="19"/>
          <w:szCs w:val="19"/>
          <w:color w:val="auto"/>
        </w:rPr>
      </w:pPr>
    </w:p>
    <w:p>
      <w:pPr>
        <w:ind w:left="660" w:hanging="4"/>
        <w:spacing w:after="0" w:line="283" w:lineRule="auto"/>
        <w:tabs>
          <w:tab w:leader="none" w:pos="129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6.5(B) is amended by (i) inserting in each place it appears, after “termination of any” and before “Distributor” the following: “Client,”, and (ii) inserting after “or fraud, the” and before “Distributor” the following: “Client”; and</w:t>
      </w:r>
    </w:p>
    <w:p>
      <w:pPr>
        <w:spacing w:after="0" w:line="173" w:lineRule="exact"/>
        <w:rPr>
          <w:rFonts w:ascii="Times New Roman" w:cs="Times New Roman" w:eastAsia="Times New Roman" w:hAnsi="Times New Roman"/>
          <w:sz w:val="20"/>
          <w:szCs w:val="20"/>
          <w:color w:val="auto"/>
        </w:rPr>
      </w:pPr>
    </w:p>
    <w:p>
      <w:pPr>
        <w:ind w:left="660" w:hanging="4"/>
        <w:spacing w:after="0" w:line="283" w:lineRule="auto"/>
        <w:tabs>
          <w:tab w:leader="none" w:pos="129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6.5(C) is amended by (i) inserting after “an existing” and before “Distributor” the following: “Client,”, and (ii) after “undertaken with such” and before “Distributor” the following: “Client,”.</w:t>
      </w:r>
    </w:p>
    <w:p>
      <w:pPr>
        <w:spacing w:after="0" w:line="155" w:lineRule="exact"/>
        <w:rPr>
          <w:rFonts w:ascii="Times New Roman" w:cs="Times New Roman" w:eastAsia="Times New Roman" w:hAnsi="Times New Roman"/>
          <w:sz w:val="20"/>
          <w:szCs w:val="20"/>
          <w:color w:val="auto"/>
        </w:rPr>
      </w:pPr>
    </w:p>
    <w:p>
      <w:pPr>
        <w:ind w:firstLine="8"/>
        <w:spacing w:after="0" w:line="301" w:lineRule="auto"/>
        <w:tabs>
          <w:tab w:leader="none" w:pos="63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6.6 Distributor and Third Party Service Provider Due Diligence, Training, and Monitoring</w:t>
      </w:r>
      <w:r>
        <w:rPr>
          <w:rFonts w:ascii="Times New Roman" w:cs="Times New Roman" w:eastAsia="Times New Roman" w:hAnsi="Times New Roman"/>
          <w:sz w:val="20"/>
          <w:szCs w:val="20"/>
          <w:color w:val="auto"/>
        </w:rPr>
        <w:t>.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Tenth Amendment Effective Date, Section 6.6(F) of the Agreement is replaced in its entirety with the following:</w:t>
      </w:r>
    </w:p>
    <w:p>
      <w:pPr>
        <w:spacing w:after="0" w:line="142" w:lineRule="exact"/>
        <w:rPr>
          <w:rFonts w:ascii="Times New Roman" w:cs="Times New Roman" w:eastAsia="Times New Roman" w:hAnsi="Times New Roman"/>
          <w:sz w:val="20"/>
          <w:szCs w:val="20"/>
          <w:color w:val="auto"/>
        </w:rPr>
      </w:pPr>
    </w:p>
    <w:p>
      <w:pPr>
        <w:jc w:val="both"/>
        <w:ind w:left="1300" w:firstLine="4"/>
        <w:spacing w:after="0" w:line="268" w:lineRule="auto"/>
        <w:tabs>
          <w:tab w:leader="none" w:pos="1753"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 Shopping</w:t>
      </w:r>
      <w:r>
        <w:rPr>
          <w:rFonts w:ascii="Times New Roman" w:cs="Times New Roman" w:eastAsia="Times New Roman" w:hAnsi="Times New Roman"/>
          <w:sz w:val="20"/>
          <w:szCs w:val="20"/>
          <w:color w:val="auto"/>
        </w:rPr>
        <w:t>. Sutton Bank may from time to time reasonably require Manager to conduct a secret shopper program to monitor (i) sales of Prepaid Cards by one or more Distributors or (ii) offering of Debit Flex Cards by one or more Clients, in each case, in a manner mutually agreed upon by the Parties. Such secret shopper program will be designed to review the Distributor’s or Client’s (as applicable)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9" w:lineRule="exact"/>
        <w:rPr>
          <w:sz w:val="20"/>
          <w:szCs w:val="20"/>
          <w:color w:val="auto"/>
        </w:rPr>
      </w:pPr>
    </w:p>
    <w:p>
      <w:pPr>
        <w:ind w:firstLine="8"/>
        <w:spacing w:after="0" w:line="287" w:lineRule="auto"/>
        <w:tabs>
          <w:tab w:leader="none" w:pos="63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6.9 Expenses and Liability</w:t>
      </w:r>
      <w:r>
        <w:rPr>
          <w:rFonts w:ascii="Times New Roman" w:cs="Times New Roman" w:eastAsia="Times New Roman" w:hAnsi="Times New Roman"/>
          <w:sz w:val="20"/>
          <w:szCs w:val="20"/>
          <w:color w:val="auto"/>
        </w:rPr>
        <w:t>. As of the Tenth Amendment Effective Date, Section 6.9 of the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by inserting in each place it appears, after “Distributor,” and before “Marketer” the following: “Client,”.</w:t>
      </w:r>
    </w:p>
    <w:p>
      <w:pPr>
        <w:spacing w:after="0" w:line="165" w:lineRule="exact"/>
        <w:rPr>
          <w:rFonts w:ascii="Times New Roman" w:cs="Times New Roman" w:eastAsia="Times New Roman" w:hAnsi="Times New Roman"/>
          <w:sz w:val="20"/>
          <w:szCs w:val="20"/>
          <w:color w:val="auto"/>
        </w:rPr>
      </w:pPr>
    </w:p>
    <w:p>
      <w:pPr>
        <w:jc w:val="both"/>
        <w:ind w:right="20" w:firstLine="8"/>
        <w:spacing w:after="0" w:line="270" w:lineRule="auto"/>
        <w:tabs>
          <w:tab w:leader="none" w:pos="63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7.1 Ownership of Accounts, Cardholder Data and Program Materials</w:t>
      </w:r>
      <w:r>
        <w:rPr>
          <w:rFonts w:ascii="Times New Roman" w:cs="Times New Roman" w:eastAsia="Times New Roman" w:hAnsi="Times New Roman"/>
          <w:sz w:val="20"/>
          <w:szCs w:val="20"/>
          <w:color w:val="auto"/>
        </w:rPr>
        <w:t>. As of the Tenth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Section 7.1 of the Agreement is amended by (a) replacing “Cardholder Accounts” in the first sentence thereof with “Prepaid Cardholder Accounts”, and (b) inserting in each place it appears, after “or a Marketer” and before “or Distributor” the following: “Client,”.</w:t>
      </w:r>
    </w:p>
    <w:p>
      <w:pPr>
        <w:spacing w:after="0" w:line="182" w:lineRule="exact"/>
        <w:rPr>
          <w:rFonts w:ascii="Times New Roman" w:cs="Times New Roman" w:eastAsia="Times New Roman" w:hAnsi="Times New Roman"/>
          <w:sz w:val="20"/>
          <w:szCs w:val="20"/>
          <w:color w:val="auto"/>
        </w:rPr>
      </w:pPr>
    </w:p>
    <w:p>
      <w:pPr>
        <w:jc w:val="both"/>
        <w:ind w:firstLine="8"/>
        <w:spacing w:after="0" w:line="269" w:lineRule="auto"/>
        <w:tabs>
          <w:tab w:leader="none" w:pos="63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7.2 Sharing of Cardholder Data and Program Materials</w:t>
      </w:r>
      <w:r>
        <w:rPr>
          <w:rFonts w:ascii="Times New Roman" w:cs="Times New Roman" w:eastAsia="Times New Roman" w:hAnsi="Times New Roman"/>
          <w:sz w:val="20"/>
          <w:szCs w:val="20"/>
          <w:color w:val="auto"/>
        </w:rPr>
        <w:t>. As of the Tenth Amendment 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7.2 of the Agreement is amended by (a) inserting after “Affiliates,” and before “Distributors” the following: “Clients,”; (b) inserting after “Affiliates,” and before “Third Party Service Providers” the following: “Clients,”; and (c) inserting after “Affiliate(s),” and before “Third Party Service Provider(s)” the following: “Client(s),”.</w:t>
      </w:r>
    </w:p>
    <w:p>
      <w:pPr>
        <w:spacing w:after="0" w:line="170" w:lineRule="exact"/>
        <w:rPr>
          <w:rFonts w:ascii="Times New Roman" w:cs="Times New Roman" w:eastAsia="Times New Roman" w:hAnsi="Times New Roman"/>
          <w:sz w:val="20"/>
          <w:szCs w:val="20"/>
          <w:color w:val="auto"/>
        </w:rPr>
      </w:pPr>
    </w:p>
    <w:p>
      <w:pPr>
        <w:ind w:firstLine="8"/>
        <w:spacing w:after="0" w:line="287" w:lineRule="auto"/>
        <w:tabs>
          <w:tab w:leader="none" w:pos="63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7.3 Data Obtained Independently by Manager</w:t>
      </w:r>
      <w:r>
        <w:rPr>
          <w:rFonts w:ascii="Times New Roman" w:cs="Times New Roman" w:eastAsia="Times New Roman" w:hAnsi="Times New Roman"/>
          <w:sz w:val="20"/>
          <w:szCs w:val="20"/>
          <w:color w:val="auto"/>
        </w:rPr>
        <w:t>. As of the Tenth Amendment Effective Date, Section 7.3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is amended by inserting after “Marketer” and before “or Distributor” the following: “, Client,”.</w:t>
      </w:r>
    </w:p>
    <w:p>
      <w:pPr>
        <w:spacing w:after="0" w:line="16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8.1 Cardholder Data Security</w:t>
      </w:r>
      <w:r>
        <w:rPr>
          <w:rFonts w:ascii="Times New Roman" w:cs="Times New Roman" w:eastAsia="Times New Roman" w:hAnsi="Times New Roman"/>
          <w:sz w:val="20"/>
          <w:szCs w:val="20"/>
          <w:color w:val="auto"/>
        </w:rPr>
        <w:t>. As of the Tenth Amendment Effective Date,</w:t>
      </w:r>
    </w:p>
    <w:p>
      <w:pPr>
        <w:spacing w:after="0" w:line="233" w:lineRule="exact"/>
        <w:rPr>
          <w:rFonts w:ascii="Times New Roman" w:cs="Times New Roman" w:eastAsia="Times New Roman" w:hAnsi="Times New Roman"/>
          <w:sz w:val="20"/>
          <w:szCs w:val="20"/>
          <w:color w:val="auto"/>
        </w:rPr>
      </w:pPr>
    </w:p>
    <w:p>
      <w:pPr>
        <w:ind w:left="660" w:hanging="4"/>
        <w:spacing w:after="0" w:line="283" w:lineRule="auto"/>
        <w:tabs>
          <w:tab w:leader="none" w:pos="129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8.1(A)(ii)(b) is amended by (i) replacing the reference to “Card Programs” with “Programs”, and (ii) replacing the reference to “Card Program” with “Program”.</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8.1(B) is amended by replacing the reference to “Card Program” with “Program”.</w:t>
      </w:r>
    </w:p>
    <w:p>
      <w:pPr>
        <w:spacing w:after="0" w:line="229" w:lineRule="exact"/>
        <w:rPr>
          <w:rFonts w:ascii="Times New Roman" w:cs="Times New Roman" w:eastAsia="Times New Roman" w:hAnsi="Times New Roman"/>
          <w:sz w:val="20"/>
          <w:szCs w:val="20"/>
          <w:color w:val="auto"/>
        </w:rPr>
      </w:pPr>
    </w:p>
    <w:p>
      <w:pPr>
        <w:ind w:left="660" w:hanging="4"/>
        <w:spacing w:after="0" w:line="283" w:lineRule="auto"/>
        <w:tabs>
          <w:tab w:leader="none" w:pos="129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8.1(E) is amended by replacing in the first sentence thereof, the reference to “‘sensitive customer information.’” with “‘sensitive customer information,’ or as otherwise required by Applicable Law”.</w:t>
      </w:r>
    </w:p>
    <w:p>
      <w:pPr>
        <w:spacing w:after="0" w:line="169"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9.6 Notification</w:t>
      </w:r>
      <w:r>
        <w:rPr>
          <w:rFonts w:ascii="Times New Roman" w:cs="Times New Roman" w:eastAsia="Times New Roman" w:hAnsi="Times New Roman"/>
          <w:sz w:val="20"/>
          <w:szCs w:val="20"/>
          <w:color w:val="auto"/>
        </w:rPr>
        <w:t>. As of the Tenth Amendment Effective Date, Section 9.6 of the Agreement is amended by</w:t>
      </w:r>
    </w:p>
    <w:p>
      <w:pPr>
        <w:spacing w:after="0" w:line="32" w:lineRule="exact"/>
        <w:rPr>
          <w:rFonts w:ascii="Times New Roman" w:cs="Times New Roman" w:eastAsia="Times New Roman" w:hAnsi="Times New Roman"/>
          <w:sz w:val="20"/>
          <w:szCs w:val="20"/>
          <w:color w:val="auto"/>
        </w:rPr>
      </w:pPr>
    </w:p>
    <w:p>
      <w:pPr>
        <w:spacing w:after="0" w:line="2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inserting “or Client” after “Third Party Service Provider, and (b) inserting “or sooner if required by Applicable Law” after “any such security breach.”</w:t>
      </w:r>
    </w:p>
    <w:p>
      <w:pPr>
        <w:spacing w:after="0" w:line="184" w:lineRule="exact"/>
        <w:rPr>
          <w:rFonts w:ascii="Times New Roman" w:cs="Times New Roman" w:eastAsia="Times New Roman" w:hAnsi="Times New Roman"/>
          <w:sz w:val="20"/>
          <w:szCs w:val="20"/>
          <w:color w:val="auto"/>
        </w:rPr>
      </w:pPr>
    </w:p>
    <w:p>
      <w:pPr>
        <w:jc w:val="both"/>
        <w:ind w:firstLine="8"/>
        <w:spacing w:after="0" w:line="269" w:lineRule="auto"/>
        <w:tabs>
          <w:tab w:leader="none" w:pos="63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9.7 Expense Reimbursement</w:t>
      </w:r>
      <w:r>
        <w:rPr>
          <w:rFonts w:ascii="Times New Roman" w:cs="Times New Roman" w:eastAsia="Times New Roman" w:hAnsi="Times New Roman"/>
          <w:sz w:val="20"/>
          <w:szCs w:val="20"/>
          <w:color w:val="auto"/>
        </w:rPr>
        <w:t>. As of the Tenth Amendment Effective Date, (a) Section 9.7(A)(i) is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inserting after “or any” and before “Distributor” the following; “Client,” and (b) Section 9.7(A)(iii) is amended by (i) inserting after “Affiliates or” and before “Distributors” the following: “or Clients”, and (ii) inserting after “Manager or a” and before “Distributor” the following: “Client,”.</w:t>
      </w:r>
    </w:p>
    <w:p>
      <w:pPr>
        <w:spacing w:after="0" w:line="170" w:lineRule="exact"/>
        <w:rPr>
          <w:rFonts w:ascii="Times New Roman" w:cs="Times New Roman" w:eastAsia="Times New Roman" w:hAnsi="Times New Roman"/>
          <w:sz w:val="20"/>
          <w:szCs w:val="20"/>
          <w:color w:val="auto"/>
        </w:rPr>
      </w:pPr>
    </w:p>
    <w:p>
      <w:pPr>
        <w:jc w:val="both"/>
        <w:ind w:firstLine="8"/>
        <w:spacing w:after="0" w:line="269" w:lineRule="auto"/>
        <w:tabs>
          <w:tab w:leader="none" w:pos="63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10.1(A) Term</w:t>
      </w:r>
      <w:r>
        <w:rPr>
          <w:rFonts w:ascii="Times New Roman" w:cs="Times New Roman" w:eastAsia="Times New Roman" w:hAnsi="Times New Roman"/>
          <w:sz w:val="20"/>
          <w:szCs w:val="20"/>
          <w:color w:val="auto"/>
        </w:rPr>
        <w:t>. As of the Tenth Amendment Effective Dates, Section 10.1(A) is amended by replacing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sentence “The initial term of this Fourth Amended Program Manager Agreement shall commence on the Fourth Amendment Effective Date and terminate at midnight on September 1, 2028.” with “The initial term of the Amended Program Manager Agreement shall commence on the Effective Date and terminate at midnight on September 1, 2029.”</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9"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10.2 Termination for Cause</w:t>
      </w:r>
      <w:r>
        <w:rPr>
          <w:rFonts w:ascii="Times New Roman" w:cs="Times New Roman" w:eastAsia="Times New Roman" w:hAnsi="Times New Roman"/>
          <w:sz w:val="20"/>
          <w:szCs w:val="20"/>
          <w:color w:val="auto"/>
        </w:rPr>
        <w:t>. As of the Tenth Amendment Effective Date,</w:t>
      </w:r>
    </w:p>
    <w:p>
      <w:pPr>
        <w:spacing w:after="0" w:line="233" w:lineRule="exact"/>
        <w:rPr>
          <w:rFonts w:ascii="Times New Roman" w:cs="Times New Roman" w:eastAsia="Times New Roman" w:hAnsi="Times New Roman"/>
          <w:sz w:val="20"/>
          <w:szCs w:val="20"/>
          <w:color w:val="auto"/>
        </w:rPr>
      </w:pPr>
    </w:p>
    <w:p>
      <w:pPr>
        <w:ind w:left="1340" w:hanging="684"/>
        <w:spacing w:after="0"/>
        <w:tabs>
          <w:tab w:leader="none" w:pos="13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10.2(A)(iii) clause (3) is amended by replacing the reference to “prepaid card services” with “services”.</w:t>
      </w:r>
    </w:p>
    <w:p>
      <w:pPr>
        <w:spacing w:after="0" w:line="242" w:lineRule="exact"/>
        <w:rPr>
          <w:rFonts w:ascii="Times New Roman" w:cs="Times New Roman" w:eastAsia="Times New Roman" w:hAnsi="Times New Roman"/>
          <w:sz w:val="20"/>
          <w:szCs w:val="20"/>
          <w:color w:val="auto"/>
        </w:rPr>
      </w:pPr>
    </w:p>
    <w:p>
      <w:pPr>
        <w:jc w:val="both"/>
        <w:ind w:left="660" w:right="20" w:hanging="4"/>
        <w:spacing w:after="0" w:line="268" w:lineRule="auto"/>
        <w:tabs>
          <w:tab w:leader="none" w:pos="129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10.2(B) (i) clause (3) is amended by replacing reference to “prepaid cards” with “cards”, and (ii) clause (4) is amended by (A) replacing reference to “prepaid cards” with “cards” and (B) replacing the reference to “Card Program” with “Program”.</w:t>
      </w:r>
    </w:p>
    <w:p>
      <w:pPr>
        <w:spacing w:after="0" w:line="188" w:lineRule="exact"/>
        <w:rPr>
          <w:rFonts w:ascii="Times New Roman" w:cs="Times New Roman" w:eastAsia="Times New Roman" w:hAnsi="Times New Roman"/>
          <w:sz w:val="20"/>
          <w:szCs w:val="20"/>
          <w:color w:val="auto"/>
        </w:rPr>
      </w:pPr>
    </w:p>
    <w:p>
      <w:pPr>
        <w:jc w:val="both"/>
        <w:ind w:left="660" w:hanging="4"/>
        <w:spacing w:after="0" w:line="268" w:lineRule="auto"/>
        <w:tabs>
          <w:tab w:leader="none" w:pos="129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10.2(D) is amended by (i) inserting after “Manager cease” and before “selling” the following: “offering,” (ii) replacing in each place it appears “Settlement Payment” with “payment contemplated by this Amended Program Manager Agreement” and (iii) replacing in each place it appears “Settlement Account” with “Program Account or FBO Account”.</w:t>
      </w:r>
    </w:p>
    <w:p>
      <w:pPr>
        <w:spacing w:after="0" w:line="184" w:lineRule="exact"/>
        <w:rPr>
          <w:rFonts w:ascii="Times New Roman" w:cs="Times New Roman" w:eastAsia="Times New Roman" w:hAnsi="Times New Roman"/>
          <w:sz w:val="20"/>
          <w:szCs w:val="20"/>
          <w:color w:val="auto"/>
        </w:rPr>
      </w:pPr>
    </w:p>
    <w:p>
      <w:pPr>
        <w:jc w:val="both"/>
        <w:ind w:right="20" w:firstLine="8"/>
        <w:spacing w:after="0" w:line="270" w:lineRule="auto"/>
        <w:tabs>
          <w:tab w:leader="none" w:pos="6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10.4 Cessation of Card Sale and Distribution after Termination or Expiration</w:t>
      </w:r>
      <w:r>
        <w:rPr>
          <w:rFonts w:ascii="Times New Roman" w:cs="Times New Roman" w:eastAsia="Times New Roman" w:hAnsi="Times New Roman"/>
          <w:sz w:val="20"/>
          <w:szCs w:val="20"/>
          <w:color w:val="auto"/>
        </w:rPr>
        <w:t>. As of the Tenth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Effective Date, Section 10.4 of the Agreement is amended by inserting after “immediately cease” and before “selling” the following: “offering,”.</w:t>
      </w:r>
    </w:p>
    <w:p>
      <w:pPr>
        <w:spacing w:after="0" w:line="182" w:lineRule="exact"/>
        <w:rPr>
          <w:rFonts w:ascii="Times New Roman" w:cs="Times New Roman" w:eastAsia="Times New Roman" w:hAnsi="Times New Roman"/>
          <w:sz w:val="20"/>
          <w:szCs w:val="20"/>
          <w:color w:val="auto"/>
        </w:rPr>
      </w:pPr>
    </w:p>
    <w:p>
      <w:pPr>
        <w:ind w:firstLine="8"/>
        <w:spacing w:after="0" w:line="287" w:lineRule="auto"/>
        <w:tabs>
          <w:tab w:leader="none" w:pos="6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11.1 Indemnification Obligation By Manager</w:t>
      </w:r>
      <w:r>
        <w:rPr>
          <w:rFonts w:ascii="Times New Roman" w:cs="Times New Roman" w:eastAsia="Times New Roman" w:hAnsi="Times New Roman"/>
          <w:sz w:val="20"/>
          <w:szCs w:val="20"/>
          <w:color w:val="auto"/>
        </w:rPr>
        <w:t>. As of the Tenth Amendment Effective Date, Section 11.1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is amended by inserting “including those” before “arising”.</w:t>
      </w:r>
    </w:p>
    <w:p>
      <w:pPr>
        <w:spacing w:after="0" w:line="151" w:lineRule="exact"/>
        <w:rPr>
          <w:rFonts w:ascii="Times New Roman" w:cs="Times New Roman" w:eastAsia="Times New Roman" w:hAnsi="Times New Roman"/>
          <w:sz w:val="20"/>
          <w:szCs w:val="20"/>
          <w:color w:val="auto"/>
        </w:rPr>
      </w:pPr>
    </w:p>
    <w:p>
      <w:pPr>
        <w:jc w:val="both"/>
        <w:ind w:firstLine="8"/>
        <w:spacing w:after="0" w:line="277" w:lineRule="auto"/>
        <w:tabs>
          <w:tab w:leader="none" w:pos="6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11.1(D) Indemnification Obligation By Manager</w:t>
      </w:r>
      <w:r>
        <w:rPr>
          <w:rFonts w:ascii="Times New Roman" w:cs="Times New Roman" w:eastAsia="Times New Roman" w:hAnsi="Times New Roman"/>
          <w:sz w:val="20"/>
          <w:szCs w:val="20"/>
          <w:color w:val="auto"/>
        </w:rPr>
        <w:t>. As of the Tenth Amendment Effective Date,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11.1(D) of the Agreement is amended by (a) inserting after “directors” and before “Distributors” the following: “Clients,” and (b) inserting after “including” and before “Distributors” the following: “Clients,”.</w:t>
      </w:r>
    </w:p>
    <w:p>
      <w:pPr>
        <w:spacing w:after="0" w:line="162" w:lineRule="exact"/>
        <w:rPr>
          <w:rFonts w:ascii="Times New Roman" w:cs="Times New Roman" w:eastAsia="Times New Roman" w:hAnsi="Times New Roman"/>
          <w:sz w:val="20"/>
          <w:szCs w:val="20"/>
          <w:color w:val="auto"/>
        </w:rPr>
      </w:pPr>
    </w:p>
    <w:p>
      <w:pPr>
        <w:jc w:val="both"/>
        <w:ind w:firstLine="8"/>
        <w:spacing w:after="0" w:line="269" w:lineRule="auto"/>
        <w:tabs>
          <w:tab w:leader="none" w:pos="6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11.2 Limited Exception and Conditions</w:t>
      </w:r>
      <w:r>
        <w:rPr>
          <w:rFonts w:ascii="Times New Roman" w:cs="Times New Roman" w:eastAsia="Times New Roman" w:hAnsi="Times New Roman"/>
          <w:sz w:val="20"/>
          <w:szCs w:val="20"/>
          <w:color w:val="auto"/>
        </w:rPr>
        <w:t>. As of the Tenth Amendment Effective Date, Section 11.2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is amended (a) by inserting after “Manager” and before “or a Manager Contractor” the following: “, Clients” and (b) by inserting at the end of the paragraph after the last reference to “Applicable Law”: “, or solely to the extent that such Losses were caused by the use of any materials that were approved by Bank.”</w:t>
      </w:r>
    </w:p>
    <w:p>
      <w:pPr>
        <w:spacing w:after="0" w:line="183" w:lineRule="exact"/>
        <w:rPr>
          <w:rFonts w:ascii="Times New Roman" w:cs="Times New Roman" w:eastAsia="Times New Roman" w:hAnsi="Times New Roman"/>
          <w:sz w:val="20"/>
          <w:szCs w:val="20"/>
          <w:color w:val="auto"/>
        </w:rPr>
      </w:pPr>
    </w:p>
    <w:p>
      <w:pPr>
        <w:ind w:firstLine="8"/>
        <w:spacing w:after="0" w:line="287" w:lineRule="auto"/>
        <w:tabs>
          <w:tab w:leader="none" w:pos="6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11.3 By Sutton Bank</w:t>
      </w:r>
      <w:r>
        <w:rPr>
          <w:rFonts w:ascii="Times New Roman" w:cs="Times New Roman" w:eastAsia="Times New Roman" w:hAnsi="Times New Roman"/>
          <w:sz w:val="20"/>
          <w:szCs w:val="20"/>
          <w:color w:val="auto"/>
        </w:rPr>
        <w:t>. As of the Tenth Amendment Effective Date, Section 11.3(E) is amended by inserting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“Manager” and before “, including any failure” the following: “or Manager Contractors”.</w:t>
      </w:r>
    </w:p>
    <w:p>
      <w:pPr>
        <w:spacing w:after="0" w:line="151" w:lineRule="exact"/>
        <w:rPr>
          <w:rFonts w:ascii="Times New Roman" w:cs="Times New Roman" w:eastAsia="Times New Roman" w:hAnsi="Times New Roman"/>
          <w:sz w:val="20"/>
          <w:szCs w:val="20"/>
          <w:color w:val="auto"/>
        </w:rPr>
      </w:pPr>
    </w:p>
    <w:p>
      <w:pPr>
        <w:jc w:val="both"/>
        <w:ind w:firstLine="8"/>
        <w:spacing w:after="0" w:line="277" w:lineRule="auto"/>
        <w:tabs>
          <w:tab w:leader="none" w:pos="6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11.4 Limited Exception and Conditions</w:t>
      </w:r>
      <w:r>
        <w:rPr>
          <w:rFonts w:ascii="Times New Roman" w:cs="Times New Roman" w:eastAsia="Times New Roman" w:hAnsi="Times New Roman"/>
          <w:sz w:val="20"/>
          <w:szCs w:val="20"/>
          <w:color w:val="auto"/>
        </w:rPr>
        <w:t>. As of the Tenth Amendment Effective Date, Section 11.4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by (a) deleting “or” before “(C)”, and (b) inserting new clause (D) at the end thereof as follows: “, or (D) noncompliance with or violation of any Applicable Law by Manager or a Manager Contractor.”</w:t>
      </w:r>
    </w:p>
    <w:p>
      <w:pPr>
        <w:spacing w:after="0" w:line="162"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Exhibit B</w:t>
      </w:r>
      <w:r>
        <w:rPr>
          <w:rFonts w:ascii="Times New Roman" w:cs="Times New Roman" w:eastAsia="Times New Roman" w:hAnsi="Times New Roman"/>
          <w:sz w:val="20"/>
          <w:szCs w:val="20"/>
          <w:color w:val="auto"/>
        </w:rPr>
        <w:t>. As of the Tenth Amendment Effective Date, Exhibit B to the Agreement is amended by:</w:t>
      </w:r>
    </w:p>
    <w:p>
      <w:pPr>
        <w:spacing w:after="0" w:line="2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replacing the title thereof with “Sutton Bank Services”;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3" w:lineRule="exact"/>
        <w:rPr>
          <w:sz w:val="20"/>
          <w:szCs w:val="20"/>
          <w:color w:val="auto"/>
        </w:rPr>
      </w:pPr>
    </w:p>
    <w:p>
      <w:pPr>
        <w:ind w:left="1292" w:hanging="644"/>
        <w:spacing w:after="0"/>
        <w:tabs>
          <w:tab w:leader="none" w:pos="129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inserting at the end of Section 4 thereof, the following: “and FBO Accounts”</w:t>
      </w:r>
    </w:p>
    <w:p>
      <w:pPr>
        <w:spacing w:after="0" w:line="229" w:lineRule="exact"/>
        <w:rPr>
          <w:rFonts w:ascii="Times New Roman" w:cs="Times New Roman" w:eastAsia="Times New Roman" w:hAnsi="Times New Roman"/>
          <w:sz w:val="20"/>
          <w:szCs w:val="20"/>
          <w:color w:val="auto"/>
        </w:rPr>
      </w:pPr>
    </w:p>
    <w:p>
      <w:pPr>
        <w:ind w:left="652" w:hanging="4"/>
        <w:spacing w:after="0" w:line="297" w:lineRule="auto"/>
        <w:tabs>
          <w:tab w:leader="none" w:pos="129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inserting in Section 12 thereof, after “a non-Manager Program Account at Bank” and before “, reconciliation” the following: “or FBO Account”.</w:t>
      </w:r>
    </w:p>
    <w:p>
      <w:pPr>
        <w:spacing w:after="0" w:line="142" w:lineRule="exact"/>
        <w:rPr>
          <w:rFonts w:ascii="Times New Roman" w:cs="Times New Roman" w:eastAsia="Times New Roman" w:hAnsi="Times New Roman"/>
          <w:sz w:val="20"/>
          <w:szCs w:val="20"/>
          <w:color w:val="auto"/>
        </w:rPr>
      </w:pPr>
    </w:p>
    <w:p>
      <w:pPr>
        <w:ind w:left="-8" w:right="20" w:firstLine="8"/>
        <w:spacing w:after="0" w:line="287" w:lineRule="auto"/>
        <w:tabs>
          <w:tab w:leader="none" w:pos="63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Exhibit C</w:t>
      </w:r>
      <w:r>
        <w:rPr>
          <w:rFonts w:ascii="Times New Roman" w:cs="Times New Roman" w:eastAsia="Times New Roman" w:hAnsi="Times New Roman"/>
          <w:sz w:val="20"/>
          <w:szCs w:val="20"/>
          <w:color w:val="auto"/>
        </w:rPr>
        <w:t>. As of the Tenth Amendment Effective Date, Exhibit C to the Agreement is amended by adding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following to the end of Section C: </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Exhibit D</w:t>
      </w:r>
      <w:r>
        <w:rPr>
          <w:rFonts w:ascii="Times New Roman" w:cs="Times New Roman" w:eastAsia="Times New Roman" w:hAnsi="Times New Roman"/>
          <w:sz w:val="20"/>
          <w:szCs w:val="20"/>
          <w:color w:val="auto"/>
        </w:rPr>
        <w:t>. As of the Tenth Amendment Effective Date, Exhibit D to the Agreement is amended by:</w:t>
      </w:r>
    </w:p>
    <w:p>
      <w:pPr>
        <w:spacing w:after="0" w:line="233" w:lineRule="exact"/>
        <w:rPr>
          <w:rFonts w:ascii="Times New Roman" w:cs="Times New Roman" w:eastAsia="Times New Roman" w:hAnsi="Times New Roman"/>
          <w:sz w:val="20"/>
          <w:szCs w:val="20"/>
          <w:color w:val="auto"/>
        </w:rPr>
      </w:pPr>
    </w:p>
    <w:p>
      <w:pPr>
        <w:ind w:left="652" w:right="20" w:hanging="4"/>
        <w:spacing w:after="0" w:line="297" w:lineRule="auto"/>
        <w:tabs>
          <w:tab w:leader="none" w:pos="129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replacing “Cardholder Accounts” with “cardholder relationships” in the second paragraph and each bullet following such paragraph and before “Card creation, product and shipment, including”;</w:t>
      </w:r>
    </w:p>
    <w:p>
      <w:pPr>
        <w:spacing w:after="0" w:line="146" w:lineRule="exact"/>
        <w:rPr>
          <w:rFonts w:ascii="Times New Roman" w:cs="Times New Roman" w:eastAsia="Times New Roman" w:hAnsi="Times New Roman"/>
          <w:sz w:val="20"/>
          <w:szCs w:val="20"/>
          <w:color w:val="auto"/>
        </w:rPr>
      </w:pPr>
    </w:p>
    <w:p>
      <w:pPr>
        <w:ind w:left="652" w:right="20" w:hanging="4"/>
        <w:spacing w:after="0" w:line="283" w:lineRule="auto"/>
        <w:tabs>
          <w:tab w:leader="none" w:pos="128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replacing “Cardholder Account” with “cardholder account” in the first bullet in the “Back office support functions, including:” paragraph; and</w:t>
      </w:r>
    </w:p>
    <w:p>
      <w:pPr>
        <w:spacing w:after="0" w:line="173"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adding to the end of the “Back office support functions, including:” bulleted list the following:</w:t>
      </w:r>
    </w:p>
    <w:p>
      <w:pPr>
        <w:spacing w:after="0" w:line="229" w:lineRule="exact"/>
        <w:rPr>
          <w:rFonts w:ascii="Times New Roman" w:cs="Times New Roman" w:eastAsia="Times New Roman" w:hAnsi="Times New Roman"/>
          <w:sz w:val="20"/>
          <w:szCs w:val="20"/>
          <w:color w:val="auto"/>
        </w:rPr>
      </w:pPr>
    </w:p>
    <w:p>
      <w:pPr>
        <w:ind w:left="2272" w:hanging="328"/>
        <w:spacing w:after="0"/>
        <w:tabs>
          <w:tab w:leader="none" w:pos="227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processing Network reversals and adjustments</w:t>
      </w:r>
    </w:p>
    <w:p>
      <w:pPr>
        <w:spacing w:after="0" w:line="121" w:lineRule="exact"/>
        <w:rPr>
          <w:rFonts w:ascii="Times New Roman" w:cs="Times New Roman" w:eastAsia="Times New Roman" w:hAnsi="Times New Roman"/>
          <w:sz w:val="20"/>
          <w:szCs w:val="20"/>
          <w:color w:val="auto"/>
        </w:rPr>
      </w:pPr>
    </w:p>
    <w:p>
      <w:pPr>
        <w:ind w:left="2272" w:hanging="328"/>
        <w:spacing w:after="0"/>
        <w:tabs>
          <w:tab w:leader="none" w:pos="227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processing claims of unauthorized charges</w:t>
      </w:r>
    </w:p>
    <w:p>
      <w:pPr>
        <w:spacing w:after="0" w:line="134" w:lineRule="exact"/>
        <w:rPr>
          <w:rFonts w:ascii="Times New Roman" w:cs="Times New Roman" w:eastAsia="Times New Roman" w:hAnsi="Times New Roman"/>
          <w:sz w:val="20"/>
          <w:szCs w:val="20"/>
          <w:color w:val="auto"/>
        </w:rPr>
      </w:pPr>
    </w:p>
    <w:p>
      <w:pPr>
        <w:ind w:left="2272" w:hanging="328"/>
        <w:spacing w:after="0"/>
        <w:tabs>
          <w:tab w:leader="none" w:pos="227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enforcing the terms of the Cardholder Agreements</w:t>
      </w:r>
    </w:p>
    <w:p>
      <w:pPr>
        <w:spacing w:after="0" w:line="121" w:lineRule="exact"/>
        <w:rPr>
          <w:rFonts w:ascii="Times New Roman" w:cs="Times New Roman" w:eastAsia="Times New Roman" w:hAnsi="Times New Roman"/>
          <w:sz w:val="20"/>
          <w:szCs w:val="20"/>
          <w:color w:val="auto"/>
        </w:rPr>
      </w:pPr>
    </w:p>
    <w:p>
      <w:pPr>
        <w:ind w:left="2272" w:right="580" w:hanging="328"/>
        <w:spacing w:after="0" w:line="283" w:lineRule="auto"/>
        <w:tabs>
          <w:tab w:leader="none" w:pos="227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garnishment, turnover, seizure, blocking, or other orders or process received and unclaimed property process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32"/>
          </w:cols>
          <w:pgMar w:left="328" w:top="1440" w:right="339" w:bottom="1440" w:gutter="0" w:footer="0" w:header="0"/>
        </w:sectPr>
      </w:pPr>
    </w:p>
    <w:bookmarkStart w:id="141" w:name="page142"/>
    <w:bookmarkEnd w:id="141"/>
    <w:p>
      <w:pPr>
        <w:spacing w:after="0" w:line="199" w:lineRule="exact"/>
        <w:rPr>
          <w:sz w:val="20"/>
          <w:szCs w:val="20"/>
          <w:color w:val="auto"/>
        </w:rPr>
      </w:pPr>
    </w:p>
    <w:p>
      <w:pPr>
        <w:jc w:val="both"/>
        <w:ind w:firstLine="8"/>
        <w:spacing w:after="0" w:line="277" w:lineRule="auto"/>
        <w:tabs>
          <w:tab w:leader="none" w:pos="63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Manager’s Agreements with Clients</w:t>
      </w:r>
      <w:r>
        <w:rPr>
          <w:rFonts w:ascii="Times New Roman" w:cs="Times New Roman" w:eastAsia="Times New Roman" w:hAnsi="Times New Roman"/>
          <w:sz w:val="20"/>
          <w:szCs w:val="20"/>
          <w:color w:val="auto"/>
        </w:rPr>
        <w:t>. Promptly after the Tenth Amendment Effective Date, Manager shall amend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its agreements with Clients and all other agreements related to the Program to require the Clients to take all actions necessary to allow Manager to comply with this Tenth Amendment.</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Conflict</w:t>
      </w:r>
      <w:r>
        <w:rPr>
          <w:rFonts w:ascii="Times New Roman" w:cs="Times New Roman" w:eastAsia="Times New Roman" w:hAnsi="Times New Roman"/>
          <w:sz w:val="20"/>
          <w:szCs w:val="20"/>
          <w:color w:val="auto"/>
        </w:rPr>
        <w:t>. In the event of any conflict between the terms of the Agreement and this Tenth Amendment, this Tenth Amendment shall</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w:t>
      </w:r>
    </w:p>
    <w:p>
      <w:pPr>
        <w:spacing w:after="0" w:line="209" w:lineRule="exact"/>
        <w:rPr>
          <w:rFonts w:ascii="Times New Roman" w:cs="Times New Roman" w:eastAsia="Times New Roman" w:hAnsi="Times New Roman"/>
          <w:sz w:val="20"/>
          <w:szCs w:val="20"/>
          <w:color w:val="auto"/>
        </w:rPr>
      </w:pPr>
    </w:p>
    <w:p>
      <w:pPr>
        <w:jc w:val="both"/>
        <w:ind w:firstLine="8"/>
        <w:spacing w:after="0" w:line="269" w:lineRule="auto"/>
        <w:tabs>
          <w:tab w:leader="none" w:pos="63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Tenth Amendment</w:t>
      </w:r>
      <w:r>
        <w:rPr>
          <w:rFonts w:ascii="Times New Roman" w:cs="Times New Roman" w:eastAsia="Times New Roman" w:hAnsi="Times New Roman"/>
          <w:sz w:val="20"/>
          <w:szCs w:val="20"/>
          <w:color w:val="auto"/>
        </w:rPr>
        <w:t>. All provisions of the Agreement shall remain in full force and effect. After this Tenth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becomes effective, all references in the Agreement referring to the Agreement shall be deemed to be references to the Agreement as amended by this Tenth Amendment. This Tenth Amendment shall not be deemed, either expressly or impliedly, to waive, amend or supplement any provision of the Agreement other than as set forth herein.</w:t>
      </w:r>
    </w:p>
    <w:p>
      <w:pPr>
        <w:spacing w:after="0" w:line="183" w:lineRule="exact"/>
        <w:rPr>
          <w:rFonts w:ascii="Times New Roman" w:cs="Times New Roman" w:eastAsia="Times New Roman" w:hAnsi="Times New Roman"/>
          <w:sz w:val="20"/>
          <w:szCs w:val="20"/>
          <w:color w:val="auto"/>
        </w:rPr>
      </w:pPr>
    </w:p>
    <w:p>
      <w:pPr>
        <w:jc w:val="both"/>
        <w:ind w:firstLine="8"/>
        <w:spacing w:after="0" w:line="262" w:lineRule="auto"/>
        <w:tabs>
          <w:tab w:leader="none" w:pos="63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 This Tenth Amendment shall be governed by and construed and enforced in accordance with the internal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Ohio without regard to its conflict of laws principles. This Tenth Amendment may be executed by facsimile and in counterparts, each of which shall be deemed an original, and all of which when taken together shall be deemed one and the same instrument. The Agreement, as amended hereby sets forth the entire agreement of the Parties with respect to the subject matter hereof and thereof, supersedes any and all prior contemporaneous agreements or understandings, whether written or oral, between the Parties with respect to such subject matter. This Tenth Amendment shall inure the benefit of and be binding upon the Parties and each of their respective successors and assigns. Section headings used in this Tenth Amendment are included herein for convenience of reference only and will not constitute a part of this Tenth Amendment for any other purpose.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 WITNESS WHEREOF, the Parties have executed this Tenth Amendment as of the date first above set forth.</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SUTTON BANK</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9328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1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Name: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9613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961390" cy="8890"/>
                    </a:xfrm>
                    <a:prstGeom prst="rect">
                      <a:avLst/>
                    </a:prstGeom>
                    <a:noFill/>
                  </pic:spPr>
                </pic:pic>
              </a:graphicData>
            </a:graphic>
          </wp:anchor>
        </w:drawing>
      </w:r>
    </w:p>
    <w:p>
      <w:pPr>
        <w:spacing w:after="0" w:line="15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9613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MARQETA, INC.</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Todd Pollak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290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1290320" cy="8890"/>
                    </a:xfrm>
                    <a:prstGeom prst="rect">
                      <a:avLst/>
                    </a:prstGeom>
                    <a:noFill/>
                  </pic:spPr>
                </pic:pic>
              </a:graphicData>
            </a:graphic>
          </wp:anchor>
        </w:drawing>
      </w:r>
    </w:p>
    <w:p>
      <w:pPr>
        <w:spacing w:after="0" w:line="13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Todd Pollak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1151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13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15240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139"/>
          </w:cols>
          <w:pgMar w:left="320" w:top="1440"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b w:val="1"/>
          <w:bCs w:val="1"/>
          <w:u w:val="single" w:color="auto"/>
          <w:color w:val="auto"/>
        </w:rPr>
        <w:t>NINTH AMENDMENT TO THE AMENDED AND RESTATED PREPAID CARD PROGRAM MANAGER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26035</wp:posOffset>
            </wp:positionV>
            <wp:extent cx="5400675" cy="3346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54006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216"/>
        <w:spacing w:after="0" w:line="274" w:lineRule="auto"/>
        <w:rPr>
          <w:sz w:val="20"/>
          <w:szCs w:val="20"/>
          <w:color w:val="auto"/>
        </w:rPr>
      </w:pPr>
      <w:r>
        <w:rPr>
          <w:rFonts w:ascii="Times New Roman" w:cs="Times New Roman" w:eastAsia="Times New Roman" w:hAnsi="Times New Roman"/>
          <w:sz w:val="18"/>
          <w:szCs w:val="18"/>
          <w:color w:val="auto"/>
        </w:rPr>
        <w:t>This Ninth Amendment to the Amended and Restated Prepaid Card Program Manager Agreement (this “Ninth Amendment”) is effective as of January 15, 2026 (the “Ninth Amendment Effective Date”), by and between Sutton Bank (“Sutton Bank”) and Marqeta, Inc. (“Manager”). Each of Manager and Sutton Bank may be referred to herein individually as a “Party” and, collectively, as the “Parties”.</w:t>
      </w:r>
    </w:p>
    <w:p>
      <w:pPr>
        <w:spacing w:after="0" w:line="196"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WHEREAS, the Parties executed and delivered that certain Amended and Restated Prepaid Card Program Manager Agreement, originally dated April 1, 2016 and amended from time to time (collectively, with all amendments, addendums, and attachments thereto, the “Agreement”);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WHEREAS, the Parties wish to amend the Agreement in the manner set forth herein; and</w:t>
      </w:r>
    </w:p>
    <w:p>
      <w:pPr>
        <w:spacing w:after="0" w:line="158" w:lineRule="exact"/>
        <w:rPr>
          <w:sz w:val="20"/>
          <w:szCs w:val="20"/>
          <w:color w:val="auto"/>
        </w:rPr>
      </w:pPr>
    </w:p>
    <w:p>
      <w:pPr>
        <w:jc w:val="both"/>
        <w:ind w:right="20" w:firstLine="214"/>
        <w:spacing w:after="0" w:line="297" w:lineRule="auto"/>
        <w:rPr>
          <w:sz w:val="20"/>
          <w:szCs w:val="20"/>
          <w:color w:val="auto"/>
        </w:rPr>
      </w:pPr>
      <w:r>
        <w:rPr>
          <w:rFonts w:ascii="Times New Roman" w:cs="Times New Roman" w:eastAsia="Times New Roman" w:hAnsi="Times New Roman"/>
          <w:sz w:val="18"/>
          <w:szCs w:val="18"/>
          <w:color w:val="auto"/>
        </w:rPr>
        <w:t>WHEREAS, pursuant to Section 12.3, “Entire Agreement; Amendments” of the Agreement, the desired amendments requested must be contained in a written agreement signed by the Parties.</w:t>
      </w:r>
    </w:p>
    <w:p>
      <w:pPr>
        <w:spacing w:after="0" w:line="82"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8"/>
          <w:szCs w:val="18"/>
          <w:color w:val="auto"/>
        </w:rPr>
        <w:t>NOW THEREFORE, in consideration of the mutual covenants, agreements and promises contained herein, the receipt and sufficiency of which are hereby acknowledged, and intending to be legally bound, the Parties hereto for themselves and their successors and assigns do hereby agree, represent and warrant as follows:</w:t>
      </w:r>
    </w:p>
    <w:p>
      <w:pPr>
        <w:spacing w:after="0" w:line="111" w:lineRule="exact"/>
        <w:rPr>
          <w:sz w:val="20"/>
          <w:szCs w:val="20"/>
          <w:color w:val="auto"/>
        </w:rPr>
      </w:pPr>
    </w:p>
    <w:p>
      <w:pPr>
        <w:ind w:left="1380" w:hanging="643"/>
        <w:spacing w:after="0"/>
        <w:tabs>
          <w:tab w:leader="none" w:pos="1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in this Ninth Amendment without definition shall have the meanings ascribed to such terms in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43"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1.2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Ninth Amendment Effective Date, the definition of “Applicable Law” in Section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of the Agreement shall be replaced in its entirety and defined as follows:</w:t>
      </w:r>
    </w:p>
    <w:p>
      <w:pPr>
        <w:spacing w:after="0" w:line="23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“Applicable Law” </w:t>
      </w:r>
      <w:r>
        <w:rPr>
          <w:rFonts w:ascii="Times New Roman" w:cs="Times New Roman" w:eastAsia="Times New Roman" w:hAnsi="Times New Roman"/>
          <w:sz w:val="18"/>
          <w:szCs w:val="18"/>
          <w:color w:val="auto"/>
        </w:rPr>
        <w:t>means the (i) Network Rules; and (ii) the laws, court opinions, attorney general opinions, rules and regulations of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or of any state or the various agencies, departments or administrative or governmental bodies thereof, and any regulatory guidance, determinations of (or agreements with) an arbitrator or Regulatory Authority and directions or instructions from (or agreements with) any arbitrator or Regulatory Authority, as the same may be amended and in effect from time to time during the Term, including, without limitation, (1) the EFTA; (2) the GLBA; (3) the Bank Secrecy Act; (4) federal and state money services business laws; (5) the prohibition against unfair and deceptive trade practices in the Federal Trade Commission Act; (6) state data security laws; (7) the Telephone Consumer Protection Act; (8) any and all sanctions or regulations enforced by OFAC; (9) statutes or regulations relating to consumers, and (10) statutes or regulations of any state relating to banks, banking, prepaid cards, money transmission or unclaimed property, to the extent applicable to the issuance, sale, authorization or usage of the products and services offered under the Programs or as otherwise applicable to any of the Parties, as all the same may be amended and in effect from time to time during the Term.</w:t>
      </w:r>
    </w:p>
    <w:p>
      <w:pPr>
        <w:spacing w:after="0" w:line="212" w:lineRule="exact"/>
        <w:rPr>
          <w:sz w:val="20"/>
          <w:szCs w:val="20"/>
          <w:color w:val="auto"/>
        </w:rPr>
      </w:pPr>
    </w:p>
    <w:p>
      <w:pPr>
        <w:ind w:firstLine="737"/>
        <w:spacing w:after="0" w:line="286" w:lineRule="auto"/>
        <w:tabs>
          <w:tab w:leader="none" w:pos="137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3.1 “Manager’s Responsibilities.”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Ninth Amendment Effective Date, the following is added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3.1(O) “Program Audits and Examination Cooperation”:</w:t>
      </w:r>
    </w:p>
    <w:p>
      <w:pPr>
        <w:spacing w:after="0" w:line="186" w:lineRule="exact"/>
        <w:rPr>
          <w:sz w:val="20"/>
          <w:szCs w:val="20"/>
          <w:color w:val="auto"/>
        </w:rPr>
      </w:pPr>
    </w:p>
    <w:p>
      <w:pPr>
        <w:jc w:val="both"/>
        <w:ind w:left="660" w:hanging="4"/>
        <w:spacing w:after="0" w:line="255" w:lineRule="auto"/>
        <w:tabs>
          <w:tab w:leader="none" w:pos="115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shall cooperate with all audits contemplated by this Section, including but not limited to a compliance and vendor management audit of the Manager and Programs on an annual basis, and such other audits related to the Manager and Programs as may be requested by Sutton Bank from time to time in its reasonable discretion. Sutton Bank acknowledges and agrees that for each audit contemplated by this Section, it shall provide Manager with notice of such audit no later than October 1 of the year prior to the year such audit shall commence (“Audit Notice”). For example, Audit Notice is properly provided in October 2027 for audits to take place in 2028. Notwithstanding the foregoing, in the event an audit of Manager or a Program is required by a regulatory authority or, if Sutton Bank reasonably believes such an audit is necessary based on its oversight obligations, then Audit Notice shall not apply, and Sutton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shall only give as much notice to Manager regarding such audit as required by the regulatory authority, Applicable Law, or as practicable given the circumstances. The Parties agree that upon receipt of notice of such audit or the scope of a given audit, Manager may dispute (i) the need for an audit, or (ii) the scope of a proposed audit. The Parties agree to discuss in good faith and if necessary, Sutton Bank agrees to facilitate a discussion between the respective Chief Compliance Officers of Sutton Bank and Manager to discuss and resolve any such disputes. Each audit contemplated under this Section shall be conducted by a third party audit firm that is selected by and reports to Sutton Bank; the scope of each audit shall be determined by Sutton Bank (considering in good faith input received by Manager) and may include the activities of Clients, Distributors, Marketers, Third Party Service Providers, Processor and subcontractors and their and Manager’s Compliance Controls (as defined below); Sutton Bank shall receive all draft and final reports of the audit firm, which drafts and final reports shall be deemed the Confidential Information of Sutton Bank, and Sutton Bank shall be included in any meetings or correspondence related to the audit; the auditor shall deliver the final audit report to Sutton Bank, and Sutton Bank shall provide a copy of the report to Manager; Manager may not share the report with any other person (other than Manager’s attorneys and accountants, subject to the provisions of Section 8.2) without the consent of Sutton Bank, except as required by Applicable Law; Manager shall promptly take action at Manager’s sole expense to correct any errors, deficiencies and recommendations identified in any report or audit described in this Section (other than errors, deficiencies or recommendations that, based on the mutual determination of the Parties, need not be corrected), and shall develop, with the approval of Sutton Bank, a schedule for the correction of such errors, deficiencies and recommendations. Within thirty (30) days after the scheduled completion date for the correction of such errors, deficiencies and recommendations, Manager shall provide Sutton Bank written evidence of Manager’s successful implementation and completion thereof, to Sutton Bank’s reasonable satisfaction.</w:t>
      </w:r>
    </w:p>
    <w:p>
      <w:pPr>
        <w:spacing w:after="0" w:line="220" w:lineRule="exact"/>
        <w:rPr>
          <w:sz w:val="20"/>
          <w:szCs w:val="20"/>
          <w:color w:val="auto"/>
        </w:rPr>
      </w:pPr>
    </w:p>
    <w:p>
      <w:pPr>
        <w:jc w:val="both"/>
        <w:ind w:left="4" w:hanging="4"/>
        <w:spacing w:after="0" w:line="254" w:lineRule="auto"/>
        <w:tabs>
          <w:tab w:leader="none" w:pos="5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shall cooperate with a review of each model used in connection with any Program, and the associated model governance and validation of each model, on an appropriate schedule determined in Sutton Bank’s reasonable discretion, to be conducted by a third party review firm that is selected and engaged by, and reports to, Sutton Bank; the scope of the review shall be determined by Sutton Bank after consultation with Manager; Sutton Bank shall receive all draft and final reports from the review firm, which drafts and final reports shall be included in any meetings or correspondence related to the review; the reviewer shall deliver the final review report to Sutton Bank, and Sutton Bank shall provide a copy of the report to Manager; Manager may not share the report any other person (other than Manager’s attorneys and accountants, subject to the provisions of Section 8.2) without the consent of Sutton Bank, except as required by Applicable Law. Manager shall cause each Client to comply with the terms of this Section 3.1(O)(vii) to the extent such Client is the provider or the licensee of the provider of a model used in connection with a Program.</w:t>
      </w:r>
    </w:p>
    <w:p>
      <w:pPr>
        <w:spacing w:after="0" w:line="215" w:lineRule="exact"/>
        <w:rPr>
          <w:rFonts w:ascii="Times New Roman" w:cs="Times New Roman" w:eastAsia="Times New Roman" w:hAnsi="Times New Roman"/>
          <w:sz w:val="18"/>
          <w:szCs w:val="18"/>
          <w:color w:val="auto"/>
        </w:rPr>
      </w:pPr>
    </w:p>
    <w:p>
      <w:pPr>
        <w:ind w:left="4" w:hanging="4"/>
        <w:spacing w:after="0" w:line="282" w:lineRule="auto"/>
        <w:tabs>
          <w:tab w:leader="none" w:pos="41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all audit costs, fees, and expenses associated with all audits requested by Sutton Bank (as set forth in Section 3.1(O) (vi)) and model reviews (as set forth in Section 3.1(O)(vii)) (together, the “Audit Costs”) shall be [***].</w:t>
      </w:r>
    </w:p>
    <w:p>
      <w:pPr>
        <w:spacing w:after="0" w:line="200" w:lineRule="exact"/>
        <w:rPr>
          <w:sz w:val="20"/>
          <w:szCs w:val="20"/>
          <w:color w:val="auto"/>
        </w:rPr>
      </w:pPr>
    </w:p>
    <w:p>
      <w:pPr>
        <w:spacing w:after="0" w:line="245" w:lineRule="exact"/>
        <w:rPr>
          <w:sz w:val="20"/>
          <w:szCs w:val="20"/>
          <w:color w:val="auto"/>
        </w:rPr>
      </w:pPr>
    </w:p>
    <w:p>
      <w:pPr>
        <w:ind w:left="324" w:hanging="324"/>
        <w:spacing w:after="0"/>
        <w:tabs>
          <w:tab w:leader="none" w:pos="324" w:val="left"/>
        </w:tabs>
        <w:numPr>
          <w:ilvl w:val="0"/>
          <w:numId w:val="87"/>
        </w:numPr>
        <w:rPr>
          <w:rFonts w:ascii="Arial" w:cs="Arial" w:eastAsia="Arial" w:hAnsi="Arial"/>
          <w:sz w:val="20"/>
          <w:szCs w:val="20"/>
          <w:color w:val="auto"/>
        </w:rPr>
      </w:pPr>
      <w:r>
        <w:rPr>
          <w:rFonts w:ascii="Times New Roman" w:cs="Times New Roman" w:eastAsia="Times New Roman" w:hAnsi="Times New Roman"/>
          <w:sz w:val="18"/>
          <w:szCs w:val="18"/>
          <w:color w:val="auto"/>
        </w:rPr>
        <w:t>As of the Ninth Amendment Effective Date, Subsections (Q) and (R) are added to Section 3.1 “Manager’s Responsibilities” as follows:</w:t>
      </w:r>
    </w:p>
    <w:p>
      <w:pPr>
        <w:spacing w:after="0" w:line="243" w:lineRule="exact"/>
        <w:rPr>
          <w:sz w:val="20"/>
          <w:szCs w:val="20"/>
          <w:color w:val="auto"/>
        </w:rPr>
      </w:pPr>
    </w:p>
    <w:p>
      <w:pPr>
        <w:ind w:left="484" w:hanging="484"/>
        <w:spacing w:after="0"/>
        <w:tabs>
          <w:tab w:leader="none" w:pos="48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Monitoring, Testing, and Reporting Obligations</w:t>
      </w:r>
    </w:p>
    <w:p>
      <w:pPr>
        <w:spacing w:after="0" w:line="252"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7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Ongoing Monitoring Obligations.</w:t>
      </w:r>
      <w:r>
        <w:rPr>
          <w:rFonts w:ascii="Times New Roman" w:cs="Times New Roman" w:eastAsia="Times New Roman" w:hAnsi="Times New Roman"/>
          <w:sz w:val="18"/>
          <w:szCs w:val="18"/>
          <w:color w:val="auto"/>
        </w:rPr>
        <w:t xml:space="preserve"> Manager agrees to conduct ongoing monitoring of each active Program for purposes of ensuring compliance with Applicable Law and compliance with all agreements related to the Program, including but not limited to the agreements between Manager and Clients, Distribution and Service Agreements, Marketing Agreements, agreements with Third Party Service Providers and agreements with subcontractors, all as may be amended from time to time, and the sufficiency of the compliance management systems, enterprise risk management and internal audit functions related thereto (such compliance management systems, enterprise risk management and internal audit functions referred to as “Compliance Controls”). Without limitation to the foregoing, such monitoring shall include, to the extent applicable, monitoring performed for purposes of assessing compliance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4"/>
          </w:cols>
          <w:pgMar w:left="976" w:top="118" w:right="339" w:bottom="1440" w:gutter="0" w:footer="0" w:header="0"/>
        </w:sectPr>
      </w:pPr>
    </w:p>
    <w:bookmarkStart w:id="145" w:name="page146"/>
    <w:bookmarkEnd w:id="145"/>
    <w:p>
      <w:pPr>
        <w:ind w:left="9440"/>
        <w:spacing w:after="0"/>
        <w:rPr>
          <w:sz w:val="20"/>
          <w:szCs w:val="20"/>
          <w:color w:val="auto"/>
        </w:rPr>
      </w:pPr>
      <w:r>
        <w:rPr>
          <w:rFonts w:ascii="Arial" w:cs="Arial" w:eastAsia="Arial" w:hAnsi="Arial"/>
          <w:sz w:val="19"/>
          <w:szCs w:val="19"/>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EFTA (15 U.S.C. . §§ 1693 et seq.) and Regulation E (12 C.F.R. § 1005); the CIP requirements of the Bank Secrecy Act (31 U.S.C. § 5318(l)) and 31 C.F.R. § 1020.220); Section 5 of the Federal Trade Commission Act (15 U.S.C. §45) and Sections 1031 and 1036 of the Consumer Financial Protection Act (15 U.S.C. §§5531 and 5536), and related federal agency guidance; the Truth-In-Savings Act (12 U.S.C. § 4301; Regulation DD, 12 C.F.R. § 1030); and any other regulations applicable to products issued by Sutton Bank pursuant to the Agreement. If applicable, and without limitation to the foregoing, the specific monitoring conducted shall include ongoing monitoring of the subject Program’s handling of Regulation E disputes, and customer complaints received and responded to directly by that Program.</w:t>
      </w:r>
    </w:p>
    <w:p>
      <w:pPr>
        <w:spacing w:after="0" w:line="1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Such monitoring shall be performed as set forth in the Template Document (as defined below), and, to the extent that consumer requirements apply, the expectations set forth in the Consumer Compliance Review section of the CFPB’s Supervision and Examination Manual, and to the extent the Bank Secrecy Act applies as set forth in the FinCEN requirements for a money service business (“MSB”) codified at 31 C.F.R. 1022.210, regardless of whether Manager has any obligation to register as an MSB under the laws of any state, both as may be amended from time to time.</w:t>
      </w:r>
    </w:p>
    <w:p>
      <w:pPr>
        <w:spacing w:after="0" w:line="12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Manager agrees to provide Sutton Bank written reporting on the results of such monitoring as described in Exhibit G (attached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the Ninth Amendment and incorporated herein by reference) (as may be modified from time to time, the “Deliverables Exhibit”) in the forms set forth in the Template Document (as defined below), and the appropriate representatives of each Party shall meet to discuss such results and applicable deliverables not less than every other week (or more or less frequently as determined by Sutton Bank in its reasonable discretion). Sutton Bank has provided Manager with a document containing templates for all of the deliverables listed in the Deliverables Exhibit (as may be modified from time to time, the “Template Document”). Manager acknowledges its receipt of the Template Document. Sutton Bank may amend the Deliverables Exhibit and/or the Template Document (including, for the avoidance of doubt, to add Manager reporting obligations), in its reasonable discretion, so long as it provides Manager at least ninety (90) days prior written notice of any such amendments; provided, however, prior notice shall not be required for any amendments or additions that are required by Sutton Bank’s regulators, that are a result of a regulatory examination of Sutton Bank or that are required as a result of monitoring or testing of Sutton Bank’s own compliance management systems, enterprise risk management or internal audit function or regarding any model validation; provided, further, that if Manager demonstrates that its systems or processes do not allow it to comply with such amendments or additions within the relevant timeframe, the timeframe shall be extended upon mutual written agreement between the Parties. Sutton Bank shall provide monthly feedback on all Template Documents.</w:t>
      </w:r>
    </w:p>
    <w:p>
      <w:pPr>
        <w:spacing w:after="0" w:line="116" w:lineRule="exact"/>
        <w:rPr>
          <w:sz w:val="20"/>
          <w:szCs w:val="20"/>
          <w:color w:val="auto"/>
        </w:rPr>
      </w:pPr>
    </w:p>
    <w:p>
      <w:pPr>
        <w:jc w:val="both"/>
        <w:ind w:firstLine="644"/>
        <w:spacing w:after="0" w:line="262" w:lineRule="auto"/>
        <w:tabs>
          <w:tab w:leader="none" w:pos="11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Testing by Bank.</w:t>
      </w:r>
      <w:r>
        <w:rPr>
          <w:rFonts w:ascii="Times New Roman" w:cs="Times New Roman" w:eastAsia="Times New Roman" w:hAnsi="Times New Roman"/>
          <w:sz w:val="18"/>
          <w:szCs w:val="18"/>
          <w:color w:val="auto"/>
        </w:rPr>
        <w:t xml:space="preserve"> Sutton Bank shall have the right to conduct independent testing of Manager’s monitoring to confirm its accuracy or other effectiveness, including but not limited to compliance with Applicable Law and the sufficiency of the Compliance Controls, which may include [***] at Sutton Bank’s reasonable discretion (“Independent Testing”). Sutton Bank must provide to Manager [***] notice of its intent to conduct independent testing. In furtherance of such testing, Manager shall provide Sutton Bank [***] along with [***], including but not limited to [***], if applicable, within: (i) [***] of Sutton Bank’s reasonable request for such materials, or (ii) such timeframes as the Parties may mutually agree to in writing. Manager shall have [***] from its receipt of the findings of such independent testing to respond to all noted errors, deficiencies and recommendations (other than errors, deficiencies or recommendations that, based on the mutual determination of the Parties, need not be corrected) (“Manager Response”); provided, however, that if the scope of the findings changes after Manager’s receipt of such findings, such [***] period will reset beginning from the date of such change in scope. Sutton Bank shall timely accept or reject a Manager Response. The Manager Response provided shall be in writing and must include an explanation of the root cause(s) of each such error, deficiency or recommendation together with a proposed remediation plan, to be completed at Manager’s sole expense, for Sutton Bank’s review and approval setting forth the respective date(s) by which appropriate remediation, including monetary restitution, if warranted, will be completed. Alternatively, if Manager disagrees with any finding of an error, deficiency or recommendation, the written response provided to Sutton Bank shall set forth Manager’s specific reason(s) for disagreement. Such written response shall constitute a Manager Response. Notwithstanding the foregoing, if Manager believes in good faith that a response satisfying the above-stated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980" w:top="118"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8"/>
          <w:szCs w:val="18"/>
          <w:color w:val="auto"/>
        </w:rPr>
        <w:t>requirements cannot be provided to a given finding in the absence of further information or discussion, Manager shall promptly request in writing an extension of the time period for responding to such finding, specifying its reasons for delay, which request shall not be unreasonably denied. Within [***] after the scheduled completion date for the Sutton Bank-approved remediation plan (or on a timeline as mutually agreed by the Parties), Manager shall provide Sutton Bank written evidence of Manager’s successful implementation and completion thereof, to Sutton Bank’s satisfaction.</w:t>
      </w:r>
    </w:p>
    <w:p>
      <w:pPr>
        <w:spacing w:after="0" w:line="105" w:lineRule="exact"/>
        <w:rPr>
          <w:sz w:val="20"/>
          <w:szCs w:val="20"/>
          <w:color w:val="auto"/>
        </w:rPr>
      </w:pPr>
    </w:p>
    <w:p>
      <w:pPr>
        <w:jc w:val="both"/>
        <w:ind w:left="4" w:firstLine="644"/>
        <w:spacing w:after="0" w:line="271" w:lineRule="auto"/>
        <w:tabs>
          <w:tab w:leader="none" w:pos="1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Non-Compliance Fees.</w:t>
      </w:r>
      <w:r>
        <w:rPr>
          <w:rFonts w:ascii="Times New Roman" w:cs="Times New Roman" w:eastAsia="Times New Roman" w:hAnsi="Times New Roman"/>
          <w:sz w:val="18"/>
          <w:szCs w:val="18"/>
          <w:color w:val="auto"/>
        </w:rPr>
        <w:t xml:space="preserve"> [***] Sutton Bank shall be entitled to assess Manager a Non-Compliance Fee as stated below, in the amounts set forth in the table below. The Parties acknowledge and agree that: (i) Non-Compliance Events shall have no impact, and (ii) that no Non-Compliance Fee shall be assessed to Manager, until [***] after the Ninth Amendment Effective Date (the “Non-Compliance Fee Effective Date”).</w:t>
      </w:r>
    </w:p>
    <w:p>
      <w:pPr>
        <w:spacing w:after="0" w:line="155" w:lineRule="exact"/>
        <w:rPr>
          <w:sz w:val="20"/>
          <w:szCs w:val="20"/>
          <w:color w:val="auto"/>
        </w:rPr>
      </w:pPr>
    </w:p>
    <w:p>
      <w:pPr>
        <w:ind w:left="1544"/>
        <w:spacing w:after="0"/>
        <w:tabs>
          <w:tab w:leader="none" w:pos="6484" w:val="left"/>
        </w:tabs>
        <w:rPr>
          <w:sz w:val="20"/>
          <w:szCs w:val="20"/>
          <w:color w:val="auto"/>
        </w:rPr>
      </w:pPr>
      <w:r>
        <w:rPr>
          <w:rFonts w:ascii="Times New Roman" w:cs="Times New Roman" w:eastAsia="Times New Roman" w:hAnsi="Times New Roman"/>
          <w:sz w:val="18"/>
          <w:szCs w:val="18"/>
          <w:b w:val="1"/>
          <w:bCs w:val="1"/>
          <w:color w:val="auto"/>
        </w:rPr>
        <w:t>Non-Compliance Event</w:t>
      </w:r>
      <w:r>
        <w:rPr>
          <w:sz w:val="20"/>
          <w:szCs w:val="20"/>
          <w:color w:val="auto"/>
        </w:rPr>
        <w:tab/>
      </w:r>
      <w:r>
        <w:rPr>
          <w:rFonts w:ascii="Times New Roman" w:cs="Times New Roman" w:eastAsia="Times New Roman" w:hAnsi="Times New Roman"/>
          <w:sz w:val="18"/>
          <w:szCs w:val="18"/>
          <w:b w:val="1"/>
          <w:bCs w:val="1"/>
          <w:color w:val="auto"/>
        </w:rPr>
        <w:t>Non-Compliance Fee</w:t>
      </w:r>
    </w:p>
    <w:p>
      <w:pPr>
        <w:spacing w:after="0" w:line="21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Manager fails to timely provide Sutton Bank with two or more  [***]</w:t>
      </w:r>
    </w:p>
    <w:p>
      <w:pPr>
        <w:spacing w:after="0" w:line="27"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deliverables identified in the Deliverables Exhibit by the stated</w:t>
      </w:r>
    </w:p>
    <w:p>
      <w:pPr>
        <w:spacing w:after="0" w:line="23"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deliverable deadline, or for any such deliverable that is provided,</w:t>
      </w:r>
    </w:p>
    <w:p>
      <w:pPr>
        <w:spacing w:after="0" w:line="23"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Sutton Bank in its reasonable discretion determines two or more</w:t>
      </w:r>
    </w:p>
    <w:p>
      <w:pPr>
        <w:spacing w:after="0" w:line="9"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deliverables fail to provide sufficient responsive information</w:t>
      </w:r>
    </w:p>
    <w:p>
      <w:pPr>
        <w:spacing w:after="0" w:line="207" w:lineRule="exact"/>
        <w:rPr>
          <w:sz w:val="20"/>
          <w:szCs w:val="20"/>
          <w:color w:val="auto"/>
        </w:rPr>
      </w:pPr>
    </w:p>
    <w:p>
      <w:pPr>
        <w:ind w:left="24"/>
        <w:spacing w:after="0"/>
        <w:tabs>
          <w:tab w:leader="none" w:pos="4864" w:val="left"/>
        </w:tabs>
        <w:rPr>
          <w:sz w:val="20"/>
          <w:szCs w:val="20"/>
          <w:color w:val="auto"/>
        </w:rPr>
      </w:pPr>
      <w:r>
        <w:rPr>
          <w:rFonts w:ascii="Times New Roman" w:cs="Times New Roman" w:eastAsia="Times New Roman" w:hAnsi="Times New Roman"/>
          <w:sz w:val="18"/>
          <w:szCs w:val="18"/>
          <w:color w:val="auto"/>
        </w:rPr>
        <w:t>Manager fails to timely and completely provide the documents</w:t>
        <w:tab/>
        <w:t>[***]</w:t>
      </w:r>
    </w:p>
    <w:p>
      <w:pPr>
        <w:spacing w:after="0" w:line="27"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and information requested in connection with Section 3.1(Q)(ii)</w:t>
      </w:r>
    </w:p>
    <w:p>
      <w:pPr>
        <w:spacing w:after="0" w:line="207" w:lineRule="exact"/>
        <w:rPr>
          <w:sz w:val="20"/>
          <w:szCs w:val="20"/>
          <w:color w:val="auto"/>
        </w:rPr>
      </w:pPr>
    </w:p>
    <w:p>
      <w:pPr>
        <w:ind w:left="24"/>
        <w:spacing w:after="0"/>
        <w:tabs>
          <w:tab w:leader="none" w:pos="4864" w:val="left"/>
        </w:tabs>
        <w:rPr>
          <w:sz w:val="20"/>
          <w:szCs w:val="20"/>
          <w:color w:val="auto"/>
        </w:rPr>
      </w:pPr>
      <w:r>
        <w:rPr>
          <w:rFonts w:ascii="Times New Roman" w:cs="Times New Roman" w:eastAsia="Times New Roman" w:hAnsi="Times New Roman"/>
          <w:sz w:val="18"/>
          <w:szCs w:val="18"/>
          <w:color w:val="auto"/>
        </w:rPr>
        <w:t>Manager fails to timely implement and complete, to Sutton</w:t>
        <w:tab/>
        <w:t>[***]</w:t>
      </w:r>
    </w:p>
    <w:p>
      <w:pPr>
        <w:spacing w:after="0" w:line="27"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Bank’s reasonable satisfaction, any corrections or remediation</w:t>
      </w:r>
    </w:p>
    <w:p>
      <w:pPr>
        <w:spacing w:after="0" w:line="23"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plans resulting from an audit, ongoing monitoring or independent</w:t>
      </w:r>
    </w:p>
    <w:p>
      <w:pPr>
        <w:spacing w:after="0" w:line="23"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testing as set forth therein, including satisfaction of applicable</w:t>
      </w:r>
    </w:p>
    <w:p>
      <w:pPr>
        <w:spacing w:after="0" w:line="9"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remediation deadlines</w:t>
      </w:r>
    </w:p>
    <w:p>
      <w:pPr>
        <w:spacing w:after="0" w:line="200" w:lineRule="exact"/>
        <w:rPr>
          <w:sz w:val="20"/>
          <w:szCs w:val="20"/>
          <w:color w:val="auto"/>
        </w:rPr>
      </w:pPr>
    </w:p>
    <w:p>
      <w:pPr>
        <w:spacing w:after="0" w:line="277"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Any Program is determined by Manager or Sutton Bank, each in  [***]</w:t>
      </w:r>
    </w:p>
    <w:p>
      <w:pPr>
        <w:spacing w:after="0" w:line="27"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its reasonable discretion, through an audit, ongoing monitoring or</w:t>
      </w:r>
    </w:p>
    <w:p>
      <w:pPr>
        <w:spacing w:after="0" w:line="23"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independent testing to be [***] with Applicable Law(s) or</w:t>
      </w:r>
    </w:p>
    <w:p>
      <w:pPr>
        <w:spacing w:after="0" w:line="23"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Compliance Controls applicable to this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 w:right="20" w:firstLine="648"/>
        <w:spacing w:after="0" w:line="297" w:lineRule="auto"/>
        <w:rPr>
          <w:sz w:val="20"/>
          <w:szCs w:val="20"/>
          <w:color w:val="auto"/>
        </w:rPr>
      </w:pPr>
      <w:r>
        <w:rPr>
          <w:rFonts w:ascii="Times New Roman" w:cs="Times New Roman" w:eastAsia="Times New Roman" w:hAnsi="Times New Roman"/>
          <w:sz w:val="18"/>
          <w:szCs w:val="18"/>
          <w:color w:val="auto"/>
        </w:rPr>
        <w:t>If more than one Non-Compliance Event of the same type and/or if more than one Non-Compliance Event of different types occur in any given [***], the Non-Compliance Fees shall be cumulative [***].</w:t>
      </w:r>
    </w:p>
    <w:p>
      <w:pPr>
        <w:spacing w:after="0" w:line="82" w:lineRule="exact"/>
        <w:rPr>
          <w:sz w:val="20"/>
          <w:szCs w:val="20"/>
          <w:color w:val="auto"/>
        </w:rPr>
      </w:pPr>
    </w:p>
    <w:p>
      <w:pPr>
        <w:jc w:val="both"/>
        <w:ind w:left="4" w:firstLine="648"/>
        <w:spacing w:after="0" w:line="263" w:lineRule="auto"/>
        <w:rPr>
          <w:sz w:val="20"/>
          <w:szCs w:val="20"/>
          <w:color w:val="auto"/>
        </w:rPr>
      </w:pPr>
      <w:r>
        <w:rPr>
          <w:rFonts w:ascii="Times New Roman" w:cs="Times New Roman" w:eastAsia="Times New Roman" w:hAnsi="Times New Roman"/>
          <w:sz w:val="18"/>
          <w:szCs w:val="18"/>
          <w:color w:val="auto"/>
        </w:rPr>
        <w:t>Sutton Bank shall provide Manager written notice of the occurrence of any Non-Compliance Event for which Sutton Bank is assessing a Non-Compliance Fee. [***]. Upon receipt of such written notice, Manager shall have a period of [***] to dispute the occurrence or validity of such Non-Compliance Event (the “Non-Compliance Dispute Period”). During the Non-Compliance Dispute Period, the Parties agree to work in good faith to ensure the veracity of the occurrence of any Non-Compliance Event and applicability of any corresponding Non-Compliance Fee,</w:t>
      </w:r>
    </w:p>
    <w:p>
      <w:pPr>
        <w:spacing w:after="0" w:line="2" w:lineRule="exact"/>
        <w:rPr>
          <w:sz w:val="20"/>
          <w:szCs w:val="20"/>
          <w:color w:val="auto"/>
        </w:rPr>
      </w:pPr>
    </w:p>
    <w:p>
      <w:pPr>
        <w:jc w:val="both"/>
        <w:ind w:left="4" w:hanging="4"/>
        <w:spacing w:after="0" w:line="268" w:lineRule="auto"/>
        <w:tabs>
          <w:tab w:leader="none" w:pos="4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mutually agreed upon procedures. The Parties further agree that if Sutton learns of a potential Non-Compliance Event, but does not provide Manager written notice of such potential Non-Compliance Event within [***] of learning of its occurrence, no Non-Compliance Fee shall arise, and Manager shall not be liable for, any Non-Compliance Fee related to such potential Non-Compliance Event. Non-Compliance Fee(s) shall be due and payable to Sutton Bank by Manager within the time period(s) set forth in such written notice, which shall in no event be less than [***] from the conclusion of the Non-Compliance Dispute Period, absent manifest error. If Manager fails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4"/>
          </w:cols>
          <w:pgMar w:left="976" w:top="11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to pay any Non-Compliance Fee within the time period stated in such notice, such Non-Compliance Fee shall increase at a rate of [***] until paid by Manager.</w:t>
      </w:r>
    </w:p>
    <w:p>
      <w:pPr>
        <w:spacing w:after="0" w:line="82" w:lineRule="exact"/>
        <w:rPr>
          <w:sz w:val="20"/>
          <w:szCs w:val="20"/>
          <w:color w:val="auto"/>
        </w:rPr>
      </w:pPr>
    </w:p>
    <w:p>
      <w:pPr>
        <w:jc w:val="both"/>
        <w:ind w:left="660" w:firstLine="648"/>
        <w:spacing w:after="0" w:line="270" w:lineRule="auto"/>
        <w:rPr>
          <w:sz w:val="20"/>
          <w:szCs w:val="20"/>
          <w:color w:val="auto"/>
        </w:rPr>
      </w:pPr>
      <w:r>
        <w:rPr>
          <w:rFonts w:ascii="Times New Roman" w:cs="Times New Roman" w:eastAsia="Times New Roman" w:hAnsi="Times New Roman"/>
          <w:sz w:val="18"/>
          <w:szCs w:val="18"/>
          <w:color w:val="auto"/>
        </w:rPr>
        <w:t>In the event Manager is required to pay the Maximum Non-Compliance Fee under this subsection for any [***] in any [***] period, Sutton Bank shall immediately be entitled to terminate this Amended Program Manager Agreement, notwithstanding anything to the contrary herein; provided, however, that, prior to exercising such termination right, Sutton Bank shall meet with Manager to discuss Manager’s proposal to address and remediate the repeated instances of non-compliance and shall consider, in good faith, Manager’s proposal before determining, in its reasonable discretion, whether to exercise such termination right.</w:t>
      </w:r>
    </w:p>
    <w:p>
      <w:pPr>
        <w:spacing w:after="0" w:line="105" w:lineRule="exact"/>
        <w:rPr>
          <w:sz w:val="20"/>
          <w:szCs w:val="20"/>
          <w:color w:val="auto"/>
        </w:rPr>
      </w:pPr>
    </w:p>
    <w:p>
      <w:pPr>
        <w:jc w:val="both"/>
        <w:ind w:left="660" w:firstLine="648"/>
        <w:spacing w:after="0" w:line="264" w:lineRule="auto"/>
        <w:rPr>
          <w:sz w:val="20"/>
          <w:szCs w:val="20"/>
          <w:color w:val="auto"/>
        </w:rPr>
      </w:pPr>
      <w:r>
        <w:rPr>
          <w:rFonts w:ascii="Times New Roman" w:cs="Times New Roman" w:eastAsia="Times New Roman" w:hAnsi="Times New Roman"/>
          <w:sz w:val="18"/>
          <w:szCs w:val="18"/>
          <w:color w:val="auto"/>
        </w:rPr>
        <w:t>Additionally, in the event that a Program generates two (2) Non-Compliance Events in a given [***] for [***] (the “Direct Agreement Trigger”), Sutton Bank shall immediately be entitled to enter into agreements directly with the Client associated with such Program. Notwithstanding anything to the contrary herein, Manager agrees to continue serving as Processor in connection with any such Program during the term of any such direct agreement between Sutton Bank and Client at a reasonable and customary rate agreed upon by the Parties at the time Bank enters into an agreement with Client. Upon the occurrence of a Direct Agreement Trigger, Manager shall promptly provide to Sutton Bank copies of all relevant agreements between Manager and the applicable Client, and if any agreement between Manager and any such Client contains confidentiality provisions that may prohibit Manager and/or Client from disclosing a copy of such agreement to Sutton Bank, Manager shall (i) use commercially reasonable efforts to obtain specific permission and waiver from Client to allow Manager to disclose a copy of such agreement to Sutton Bank and (ii) inform Client that Manager approves such disclosure to Sutton Bank and that Manager grants Client specific permission and waiver to allow Client to disclose a copy of such agreement to Sutton Bank. For the avoidance of doubt, Sutton Bank’s rights under this paragraph are notwithstanding the provisions of Section 3.2(K) hereunder.</w:t>
      </w:r>
    </w:p>
    <w:p>
      <w:pPr>
        <w:spacing w:after="0" w:line="114" w:lineRule="exact"/>
        <w:rPr>
          <w:sz w:val="20"/>
          <w:szCs w:val="20"/>
          <w:color w:val="auto"/>
        </w:rPr>
      </w:pPr>
    </w:p>
    <w:p>
      <w:pPr>
        <w:jc w:val="both"/>
        <w:ind w:left="660" w:firstLine="648"/>
        <w:spacing w:after="0" w:line="274" w:lineRule="auto"/>
        <w:rPr>
          <w:sz w:val="20"/>
          <w:szCs w:val="20"/>
          <w:color w:val="auto"/>
        </w:rPr>
      </w:pPr>
      <w:r>
        <w:rPr>
          <w:rFonts w:ascii="Times New Roman" w:cs="Times New Roman" w:eastAsia="Times New Roman" w:hAnsi="Times New Roman"/>
          <w:sz w:val="18"/>
          <w:szCs w:val="18"/>
          <w:color w:val="auto"/>
        </w:rPr>
        <w:t>For the avoidance of doubt, nothing in this subsection shall act as a waiver of any other right or remedy that Sutton Bank may have hereunder or otherwise, including but not limited to any termination and indemnification rights, or in any way affect Sutton Bank’s ability to recover any damages or pursue any legal remedies. Payment by Manager of any Non-Compliance Fees shall not constitute liquidated damages.</w:t>
      </w:r>
    </w:p>
    <w:p>
      <w:pPr>
        <w:spacing w:after="0" w:line="115" w:lineRule="exact"/>
        <w:rPr>
          <w:sz w:val="20"/>
          <w:szCs w:val="20"/>
          <w:color w:val="auto"/>
        </w:rPr>
      </w:pPr>
    </w:p>
    <w:p>
      <w:pPr>
        <w:ind w:left="1120" w:hanging="464"/>
        <w:spacing w:after="0"/>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Content Control Obligations.</w:t>
      </w:r>
    </w:p>
    <w:p>
      <w:pPr>
        <w:spacing w:after="0" w:line="158" w:lineRule="exact"/>
        <w:rPr>
          <w:sz w:val="20"/>
          <w:szCs w:val="20"/>
          <w:color w:val="auto"/>
        </w:rPr>
      </w:pPr>
    </w:p>
    <w:p>
      <w:pPr>
        <w:jc w:val="both"/>
        <w:ind w:left="660" w:firstLine="648"/>
        <w:spacing w:after="0" w:line="264" w:lineRule="auto"/>
        <w:rPr>
          <w:sz w:val="20"/>
          <w:szCs w:val="20"/>
          <w:color w:val="auto"/>
        </w:rPr>
      </w:pPr>
      <w:r>
        <w:rPr>
          <w:rFonts w:ascii="Times New Roman" w:cs="Times New Roman" w:eastAsia="Times New Roman" w:hAnsi="Times New Roman"/>
          <w:sz w:val="18"/>
          <w:szCs w:val="18"/>
          <w:color w:val="auto"/>
        </w:rPr>
        <w:t>Sutton Bank acknowledges that Manager uses a Third-Party Service Provider to monitor Online Program Materials and all Program Materials approved by Sutton Bank to determine whether, after such approval, such Online Program Materials or Program Materials match what Sutton Bank approved (such Third-Party Service Provider, the “Content Control Service Provider” and such services the “Content Control Services”). For a period of [***] from the date of the Ninth Amendment Effective Date (the “Content Control Trial Period”), Manager shall utilize the services of the Content Control Service Provider to provide Content Control Services. The Parties agree that [***] before the expiration of the Content Control Trial Period, they shall meet in good faith to discuss the efficacy of the Content Control Service Provider. In the event that Sutton Bank believes the Content Control Service Provider is ineffective in the provision of Content Control Services, Sutton Bank will provide a detailed explanation for why the Content Control Services are deficient along with examples. Within a period of [***] of such notice, the Parties will collaborate in good faith on an alternative solution for the provision of Content Control Services. As used in this Section R, “Online Program Materials” means online content published on the World Wide Web that identifies Sutton Bank or a Program that Sutton Bank sponsors, including but not limited to the following social media platforms: Facebook, Instagram and TikTok.</w:t>
      </w:r>
    </w:p>
    <w:p>
      <w:pPr>
        <w:spacing w:after="0" w:line="200" w:lineRule="exact"/>
        <w:rPr>
          <w:sz w:val="20"/>
          <w:szCs w:val="20"/>
          <w:color w:val="auto"/>
        </w:rPr>
      </w:pPr>
    </w:p>
    <w:p>
      <w:pPr>
        <w:spacing w:after="0" w:line="288" w:lineRule="exact"/>
        <w:rPr>
          <w:sz w:val="20"/>
          <w:szCs w:val="20"/>
          <w:color w:val="auto"/>
        </w:rPr>
      </w:pPr>
    </w:p>
    <w:p>
      <w:pPr>
        <w:ind w:firstLine="737"/>
        <w:spacing w:after="0" w:line="286" w:lineRule="auto"/>
        <w:tabs>
          <w:tab w:leader="none" w:pos="137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5.8 “Identity Theft Prevention Program (“IDTP”)”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Ninth Amendment Effective Date, Section 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Identity Theft Prevention Program (“IDTP”) is amended by replacing the existing provision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Manager shall cause each Client, in connection with such Client’s Program, to: (i) maintain policies and procedures (“Red Flags Policy”) to (A) detect relevant red flags that may arise in the performance of Manager’s obligations, (B) take appropriate steps to address such red flags and to prevent and mitigate the effect of identity theft, and (C) report to Sutton Bank on such policies and procedures on a regular basis; (ii) identify a program administrator responsible for the Red Flags Policy; and (iii) conduct training regarding the Red Flags Policy no less frequently than annually, by the date designated by Sutton Bank, which report shall (A) address material matters related to the Program, (B) evaluate issues such as the effectiveness of the Red Flags Policy in addressing the risk of identity theft in connection with the opening of covered accounts and with respect to existing covered accounts, (C) identify service provider arrangements, (D) identify significant incidents involving identity theft and management’s response, and (E) provide recommendation for material changes to the Red Flags Policy.</w:t>
      </w:r>
    </w:p>
    <w:p>
      <w:pPr>
        <w:spacing w:after="0" w:line="215" w:lineRule="exact"/>
        <w:rPr>
          <w:sz w:val="20"/>
          <w:szCs w:val="20"/>
          <w:color w:val="auto"/>
        </w:rPr>
      </w:pPr>
    </w:p>
    <w:p>
      <w:pPr>
        <w:jc w:val="both"/>
        <w:ind w:firstLine="656"/>
        <w:spacing w:after="0" w:line="271" w:lineRule="auto"/>
        <w:tabs>
          <w:tab w:leader="none" w:pos="12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Manager’s Agreements with Clients</w:t>
      </w:r>
      <w:r>
        <w:rPr>
          <w:rFonts w:ascii="Times New Roman" w:cs="Times New Roman" w:eastAsia="Times New Roman" w:hAnsi="Times New Roman"/>
          <w:sz w:val="18"/>
          <w:szCs w:val="18"/>
          <w:color w:val="auto"/>
        </w:rPr>
        <w:t>. Promptly after the Ninth Amendment Effective Date, Manager shall use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to amend each of its agreements with Clients and all other agreements related to the Program to require the Clients to take all actions necessary to allow the Manager to comply with this Ninth Amendment, including but not limited to the payment of the Non-Compliance Fees by Clients, and to make Sutton Bank a third-party beneficiary of each such agreement; provided, however, that Manager’s failure to procure such amendments or agreements with its Clients will not be deemed to be a material breach of the Agreement.</w:t>
      </w:r>
    </w:p>
    <w:p>
      <w:pPr>
        <w:spacing w:after="0" w:line="208" w:lineRule="exact"/>
        <w:rPr>
          <w:rFonts w:ascii="Times New Roman" w:cs="Times New Roman" w:eastAsia="Times New Roman" w:hAnsi="Times New Roman"/>
          <w:sz w:val="18"/>
          <w:szCs w:val="18"/>
          <w:color w:val="auto"/>
        </w:rPr>
      </w:pPr>
    </w:p>
    <w:p>
      <w:pPr>
        <w:jc w:val="both"/>
        <w:ind w:firstLine="656"/>
        <w:spacing w:after="0" w:line="267" w:lineRule="auto"/>
        <w:tabs>
          <w:tab w:leader="none" w:pos="12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Exhibit Labeling</w:t>
      </w:r>
      <w:r>
        <w:rPr>
          <w:rFonts w:ascii="Times New Roman" w:cs="Times New Roman" w:eastAsia="Times New Roman" w:hAnsi="Times New Roman"/>
          <w:sz w:val="18"/>
          <w:szCs w:val="18"/>
          <w:color w:val="auto"/>
        </w:rPr>
        <w:t>. As of the Ninth Amendment Effective Date, the Exhibit to the Amended Program Manager Agreement 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Programs” is hereby labeled Exhibit E to the Amended Program Manager Agreement, and the Exhibit to the Amended Program Manager Agreement titled “Sutton Bank Processing Procedures and Service Levels” is hereby labeled Exhibit F to the Amended Program Manager Agreement, and all references to such Exhibits in the Amended Program Manager Agreement are hereby amended accordingly.</w:t>
      </w:r>
    </w:p>
    <w:p>
      <w:pPr>
        <w:spacing w:after="0" w:line="2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conflict between the terms of the Agreement and this Ninth Amendment, this Ninth Amendment shall</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w:t>
      </w:r>
    </w:p>
    <w:p>
      <w:pPr>
        <w:spacing w:after="0" w:line="243" w:lineRule="exact"/>
        <w:rPr>
          <w:rFonts w:ascii="Times New Roman" w:cs="Times New Roman" w:eastAsia="Times New Roman" w:hAnsi="Times New Roman"/>
          <w:sz w:val="18"/>
          <w:szCs w:val="18"/>
          <w:color w:val="auto"/>
        </w:rPr>
      </w:pPr>
    </w:p>
    <w:p>
      <w:pPr>
        <w:jc w:val="both"/>
        <w:ind w:firstLine="656"/>
        <w:spacing w:after="0" w:line="273" w:lineRule="auto"/>
        <w:tabs>
          <w:tab w:leader="none" w:pos="12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Ninth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provisions of the Agreement shall remain in full force and effect. After this Ninth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effective, all references in the Agreement referring to the Agreement shall be deemed to be references to the Agreement as amended by this Ninth Amendment. This Ninth Amendment shall not be deemed, either expressly or impliedly, to waive, amend or supplement any provision of the Agreement other than as set forth herein.</w:t>
      </w:r>
    </w:p>
    <w:p>
      <w:pPr>
        <w:spacing w:after="0" w:line="20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Ninth Amendment shall be governed by and construed and enforced in accordance with the internal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Ohio without regard to its conflict of laws principles. This Ninth Amendment may be executed by facsimile and in counterparts, each of which shall be deemed an original, and all of which when taken together shall be deemed one and the same instrument. The Agreement, as amended hereby sets forth the entire agreement of the Parties with respect to the subject matter hereof and thereof, supersedes any and all prior contemporaneous agreements or understandings, whether written or oral, between the Parties with respect to such subject matter. This Ninth Amendment shall inure the benefit of and be binding upon the Parties and each of their respective successors and assigns. Section headings used in this Ninth Amendment are included herein for convenience of reference only and will not constitute a part of this Ninth Amendment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WITNESS WHEREOF, the Parties have executed this Ninth Amendment as of the date first above set forth.</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SUTTON BANK</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9328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1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Name: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9613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13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9613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MARQETA, INC.</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Todd Pollak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290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13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Todd Pollak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1151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13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15240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u w:val="single" w:color="auto"/>
          <w:color w:val="auto"/>
        </w:rPr>
        <w:t>Schedule A</w:t>
      </w:r>
    </w:p>
    <w:p>
      <w:pPr>
        <w:spacing w:after="0" w:line="16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20"/>
          </w:cols>
          <w:pgMar w:left="1440" w:top="11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60" w:type="dxa"/>
            <w:vAlign w:val="bottom"/>
            <w:gridSpan w:val="3"/>
          </w:tcPr>
          <w:p>
            <w:pPr>
              <w:ind w:left="60"/>
              <w:spacing w:after="0"/>
              <w:rPr>
                <w:sz w:val="20"/>
                <w:szCs w:val="20"/>
                <w:color w:val="auto"/>
              </w:rPr>
            </w:pPr>
            <w:r>
              <w:rPr>
                <w:rFonts w:ascii="Arial" w:cs="Arial" w:eastAsia="Arial" w:hAnsi="Arial"/>
                <w:sz w:val="18"/>
                <w:szCs w:val="18"/>
                <w:b w:val="1"/>
                <w:bCs w:val="1"/>
                <w:color w:val="auto"/>
              </w:rPr>
              <w:t>List of Subsidiaries of Marqeta, Inc.</w:t>
            </w:r>
          </w:p>
        </w:tc>
      </w:tr>
      <w:tr>
        <w:trPr>
          <w:trHeight w:val="66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Subsidiary Name</w:t>
            </w:r>
          </w:p>
        </w:tc>
        <w:tc>
          <w:tcPr>
            <w:tcW w:w="26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20"/>
        </w:trPr>
        <w:tc>
          <w:tcPr>
            <w:tcW w:w="14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5"/>
        </w:trPr>
        <w:tc>
          <w:tcPr>
            <w:tcW w:w="4020" w:type="dxa"/>
            <w:vAlign w:val="bottom"/>
            <w:gridSpan w:val="2"/>
          </w:tcPr>
          <w:p>
            <w:pPr>
              <w:spacing w:after="0"/>
              <w:rPr>
                <w:sz w:val="20"/>
                <w:szCs w:val="20"/>
                <w:color w:val="auto"/>
              </w:rPr>
            </w:pPr>
            <w:r>
              <w:rPr>
                <w:rFonts w:ascii="Arial" w:cs="Arial" w:eastAsia="Arial" w:hAnsi="Arial"/>
                <w:sz w:val="18"/>
                <w:szCs w:val="18"/>
                <w:color w:val="auto"/>
              </w:rPr>
              <w:t>Marqeta Australia Pty Ltd</w:t>
            </w:r>
          </w:p>
        </w:tc>
        <w:tc>
          <w:tcPr>
            <w:tcW w:w="26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Marqeta do Brasil Processadora e Servicos LTDA</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Marqeta sp. z.o.o.</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Marqeta Singapore Pte. Ltd.</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Marqeta UK Ltd</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Power Finance Inc.</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Marqeta Payments, LLC</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Marqeta Services, LLC</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1000163449 Ontario Inc.</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TransactPay Holdings, Inc.</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U.S.A., Delaware</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Transact Payments Limited</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Gibraltar</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Transact Payments Services Group Limited</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Gibraltar</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Transact Payments Services Limited UK</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Transact Payments Malta (Holdings) Limited</w:t>
            </w:r>
          </w:p>
        </w:tc>
        <w:tc>
          <w:tcPr>
            <w:tcW w:w="26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Malta</w:t>
            </w:r>
          </w:p>
        </w:tc>
      </w:tr>
      <w:tr>
        <w:trPr>
          <w:trHeight w:val="239"/>
        </w:trPr>
        <w:tc>
          <w:tcPr>
            <w:tcW w:w="4020" w:type="dxa"/>
            <w:vAlign w:val="bottom"/>
            <w:gridSpan w:val="2"/>
          </w:tcPr>
          <w:p>
            <w:pPr>
              <w:spacing w:after="0"/>
              <w:rPr>
                <w:sz w:val="20"/>
                <w:szCs w:val="20"/>
                <w:color w:val="auto"/>
              </w:rPr>
            </w:pPr>
            <w:r>
              <w:rPr>
                <w:rFonts w:ascii="Arial" w:cs="Arial" w:eastAsia="Arial" w:hAnsi="Arial"/>
                <w:sz w:val="18"/>
                <w:szCs w:val="18"/>
                <w:color w:val="auto"/>
              </w:rPr>
              <w:t>Transact Payments Malta Limited</w:t>
            </w:r>
          </w:p>
        </w:tc>
        <w:tc>
          <w:tcPr>
            <w:tcW w:w="260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Malta</w:t>
            </w:r>
          </w:p>
        </w:tc>
      </w:tr>
    </w:tbl>
    <w:p>
      <w:pPr>
        <w:sectPr>
          <w:pgSz w:w="11900" w:h="16838" w:orient="portrait"/>
          <w:cols w:equalWidth="0" w:num="1">
            <w:col w:w="11220"/>
          </w:cols>
          <w:pgMar w:left="340" w:top="108"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805815" cy="316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80581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KPMG LLP</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Suite 1400</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55 Second Street</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San Francisco, CA 94105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ind w:right="200"/>
        <w:spacing w:after="0" w:line="221" w:lineRule="auto"/>
        <w:rPr>
          <w:sz w:val="20"/>
          <w:szCs w:val="20"/>
          <w:color w:val="auto"/>
        </w:rPr>
      </w:pPr>
      <w:r>
        <w:rPr>
          <w:rFonts w:ascii="Arial" w:cs="Arial" w:eastAsia="Arial" w:hAnsi="Arial"/>
          <w:sz w:val="18"/>
          <w:szCs w:val="18"/>
          <w:color w:val="auto"/>
        </w:rPr>
        <w:t>We consent to the incorporation by reference in the registration statements (Nos. 333-285290, 333-277478, 333-270134, 333-263489, and 333-256914) on Form S-8 of our report dated February 24, 2026, with respect to the consolidated financial statements of Marqeta, Inc.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effectiveness of internal control over financial reporting.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 February 24, 2026</w:t>
      </w:r>
    </w:p>
    <w:p>
      <w:pPr>
        <w:spacing w:after="0" w:line="200" w:lineRule="exact"/>
        <w:rPr>
          <w:sz w:val="20"/>
          <w:szCs w:val="20"/>
          <w:color w:val="auto"/>
        </w:rPr>
      </w:pPr>
    </w:p>
    <w:p>
      <w:pPr>
        <w:spacing w:after="0" w:line="338" w:lineRule="exact"/>
        <w:rPr>
          <w:sz w:val="20"/>
          <w:szCs w:val="20"/>
          <w:color w:val="auto"/>
        </w:rPr>
      </w:pPr>
    </w:p>
    <w:p>
      <w:pPr>
        <w:ind w:left="3480"/>
        <w:spacing w:after="0"/>
        <w:rPr>
          <w:sz w:val="20"/>
          <w:szCs w:val="20"/>
          <w:color w:val="auto"/>
        </w:rPr>
      </w:pPr>
      <w:r>
        <w:rPr>
          <w:rFonts w:ascii="Arial" w:cs="Arial" w:eastAsia="Arial" w:hAnsi="Arial"/>
          <w:sz w:val="10"/>
          <w:szCs w:val="10"/>
          <w:color w:val="auto"/>
        </w:rPr>
        <w:t>KPMG LLP, a Delaware limited liability partnership and a member firm of the KPMG global</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0"/>
          <w:szCs w:val="10"/>
          <w:color w:val="auto"/>
        </w:rPr>
        <w:t>organization of independent member firms affiliated with KPMG International Limited, a private</w:t>
      </w:r>
    </w:p>
    <w:p>
      <w:pPr>
        <w:spacing w:after="0" w:line="7" w:lineRule="exact"/>
        <w:rPr>
          <w:sz w:val="20"/>
          <w:szCs w:val="20"/>
          <w:color w:val="auto"/>
        </w:rPr>
      </w:pPr>
    </w:p>
    <w:p>
      <w:pPr>
        <w:ind w:left="3480"/>
        <w:spacing w:after="0"/>
        <w:rPr>
          <w:sz w:val="20"/>
          <w:szCs w:val="20"/>
          <w:color w:val="auto"/>
        </w:rPr>
      </w:pPr>
      <w:r>
        <w:rPr>
          <w:rFonts w:ascii="Arial" w:cs="Arial" w:eastAsia="Arial" w:hAnsi="Arial"/>
          <w:sz w:val="10"/>
          <w:szCs w:val="10"/>
          <w:color w:val="auto"/>
        </w:rPr>
        <w:t>English company limited by guarantee.</w:t>
      </w:r>
    </w:p>
    <w:p>
      <w:pPr>
        <w:sectPr>
          <w:pgSz w:w="11900" w:h="16838" w:orient="portrait"/>
          <w:cols w:equalWidth="0" w:num="1">
            <w:col w:w="11240"/>
          </w:cols>
          <w:pgMar w:left="320" w:top="34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3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148" w:lineRule="exact"/>
        <w:rPr>
          <w:sz w:val="20"/>
          <w:szCs w:val="20"/>
          <w:color w:val="auto"/>
        </w:rPr>
      </w:pPr>
    </w:p>
    <w:p>
      <w:pPr>
        <w:ind w:left="660" w:right="440" w:hanging="328"/>
        <w:spacing w:after="0" w:line="268" w:lineRule="auto"/>
        <w:tabs>
          <w:tab w:leader="none" w:pos="672"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Registration Statement (Form S-8 No. 333-285290) pertaining to the 2021 Stock Option and Incentive Plan and 2021 Employee Stock Purchase Plan of Marqeta, Inc.,</w:t>
      </w:r>
    </w:p>
    <w:p>
      <w:pPr>
        <w:spacing w:after="0" w:line="92" w:lineRule="exact"/>
        <w:rPr>
          <w:rFonts w:ascii="Arial" w:cs="Arial" w:eastAsia="Arial" w:hAnsi="Arial"/>
          <w:sz w:val="20"/>
          <w:szCs w:val="20"/>
          <w:color w:val="auto"/>
        </w:rPr>
      </w:pPr>
    </w:p>
    <w:p>
      <w:pPr>
        <w:ind w:left="660" w:right="440" w:hanging="328"/>
        <w:spacing w:after="0" w:line="282" w:lineRule="auto"/>
        <w:tabs>
          <w:tab w:leader="none" w:pos="672"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Registration Statement (Form S-8 No. 333-277478) pertaining to the 2021 Stock Option and Incentive Plan and 2021 Employee Stock Purchase Plan of Marqeta, Inc.,</w:t>
      </w:r>
    </w:p>
    <w:p>
      <w:pPr>
        <w:spacing w:after="0" w:line="66" w:lineRule="exact"/>
        <w:rPr>
          <w:rFonts w:ascii="Arial" w:cs="Arial" w:eastAsia="Arial" w:hAnsi="Arial"/>
          <w:sz w:val="20"/>
          <w:szCs w:val="20"/>
          <w:color w:val="auto"/>
        </w:rPr>
      </w:pPr>
    </w:p>
    <w:p>
      <w:pPr>
        <w:ind w:left="660" w:right="440" w:hanging="328"/>
        <w:spacing w:after="0" w:line="282" w:lineRule="auto"/>
        <w:tabs>
          <w:tab w:leader="none" w:pos="672"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Registration Statement (Form S-8 No. 333-270134) pertaining to the 2021 Stock Option and Incentive Plan and 2021 Employee Stock Purchase Plan of Marqeta, Inc.,</w:t>
      </w:r>
    </w:p>
    <w:p>
      <w:pPr>
        <w:spacing w:after="0" w:line="79" w:lineRule="exact"/>
        <w:rPr>
          <w:rFonts w:ascii="Arial" w:cs="Arial" w:eastAsia="Arial" w:hAnsi="Arial"/>
          <w:sz w:val="20"/>
          <w:szCs w:val="20"/>
          <w:color w:val="auto"/>
        </w:rPr>
      </w:pPr>
    </w:p>
    <w:p>
      <w:pPr>
        <w:ind w:left="660" w:right="140" w:hanging="328"/>
        <w:spacing w:after="0" w:line="268" w:lineRule="auto"/>
        <w:tabs>
          <w:tab w:leader="none" w:pos="672"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Registration Statement (Form S-8 No. 333-263489) pertaining to the 2021 Stock Option and Incentive Plan and the 2021 Employee Stock Purchase Plan of Marqeta, Inc., and</w:t>
      </w:r>
    </w:p>
    <w:p>
      <w:pPr>
        <w:spacing w:after="0" w:line="92" w:lineRule="exact"/>
        <w:rPr>
          <w:rFonts w:ascii="Arial" w:cs="Arial" w:eastAsia="Arial" w:hAnsi="Arial"/>
          <w:sz w:val="20"/>
          <w:szCs w:val="20"/>
          <w:color w:val="auto"/>
        </w:rPr>
      </w:pPr>
    </w:p>
    <w:p>
      <w:pPr>
        <w:ind w:left="660" w:right="780" w:hanging="328"/>
        <w:spacing w:after="0" w:line="268" w:lineRule="auto"/>
        <w:tabs>
          <w:tab w:leader="none" w:pos="672"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Registration Statement (Form S-8 No. 333-256914) pertaining to the Amended and Restated 2011 Equity Incentive Plan, as amended, the 2021 Stock Option and Incentive Plan, and the 2021 Employee Stock Purchase Plan of Marqeta, Inc.;</w:t>
      </w:r>
    </w:p>
    <w:p>
      <w:pPr>
        <w:spacing w:after="0" w:line="93"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19"/>
          <w:szCs w:val="19"/>
          <w:color w:val="auto"/>
        </w:rPr>
        <w:t>of our report dated February 28, 2024, except for Note 17, as to which the date is February 26, 2025, with respect to the consolidated financial statements of Marqeta, Inc., included in this Annual Report (Form 10-K) for the year ended December 31, 2025.</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Mateo,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24, 2026</w:t>
      </w:r>
    </w:p>
    <w:p>
      <w:pPr>
        <w:sectPr>
          <w:pgSz w:w="11900" w:h="16838" w:orient="portrait"/>
          <w:cols w:equalWidth="0" w:num="1">
            <w:col w:w="11240"/>
          </w:cols>
          <w:pgMar w:left="320" w:top="1418"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Michael (Mike) Milotich, certify that:</w:t>
      </w:r>
    </w:p>
    <w:p>
      <w:pPr>
        <w:spacing w:after="0" w:line="225"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Marqeta, Inc.;</w:t>
      </w:r>
    </w:p>
    <w:p>
      <w:pPr>
        <w:spacing w:after="0" w:line="225"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20" w:firstLine="8"/>
        <w:spacing w:after="0" w:line="287"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firstLine="8"/>
        <w:spacing w:after="0" w:line="287"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hanging="4"/>
        <w:spacing w:after="0" w:line="287"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February 24, 2026</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20955</wp:posOffset>
            </wp:positionV>
            <wp:extent cx="2314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Michael (Mike) Milotich</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3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Patti Kangwankij, certify that:</w:t>
      </w:r>
    </w:p>
    <w:p>
      <w:pPr>
        <w:spacing w:after="0" w:line="225"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Marqeta, Inc.;</w:t>
      </w:r>
    </w:p>
    <w:p>
      <w:pPr>
        <w:spacing w:after="0" w:line="225"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20" w:firstLine="8"/>
        <w:spacing w:after="0" w:line="287" w:lineRule="auto"/>
        <w:tabs>
          <w:tab w:leader="none" w:pos="6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13"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hanging="4"/>
        <w:spacing w:after="0" w:line="287" w:lineRule="auto"/>
        <w:tabs>
          <w:tab w:leader="none" w:pos="1296"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February 24, 2026</w:t>
      </w:r>
      <w:r>
        <w:rPr>
          <w:sz w:val="20"/>
          <w:szCs w:val="20"/>
          <w:color w:val="auto"/>
        </w:rPr>
        <w:tab/>
      </w:r>
      <w:r>
        <w:rPr>
          <w:rFonts w:ascii="Arial" w:cs="Arial" w:eastAsia="Arial" w:hAnsi="Arial"/>
          <w:sz w:val="16"/>
          <w:szCs w:val="16"/>
          <w:color w:val="auto"/>
        </w:rPr>
        <w:t xml:space="preserve">By: /s/ </w:t>
      </w:r>
      <w:r>
        <w:rPr>
          <w:rFonts w:ascii="Arial" w:cs="Arial" w:eastAsia="Arial" w:hAnsi="Arial"/>
          <w:sz w:val="17"/>
          <w:szCs w:val="17"/>
          <w:color w:val="auto"/>
        </w:rPr>
        <w:t>Patti Kangwankij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24765</wp:posOffset>
            </wp:positionV>
            <wp:extent cx="18002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4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Patti Kangwankij</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93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Michael (Mike) Milotich, Chief Executive Officer of Marqeta, Inc., certify, pursuant to 18 U.S.C. Section 1350, as adopted pursuant to Section 906 of the Sarbanes-Oxley Act of 2002, that the Annual Report on Form 10-K of Marqeta, Inc. for the fiscal year ended December 31, 2025 fully complies with the requirements of Section 13(a) or 15(d) of the Securities Exchange Act of 1934 and that the information contained in such Annual Report on Form 10-K fairly presents, in all material respects, the financial condition and results of operations of Marqeta, Inc.</w:t>
      </w:r>
    </w:p>
    <w:p>
      <w:pPr>
        <w:spacing w:after="0" w:line="224" w:lineRule="exact"/>
        <w:rPr>
          <w:sz w:val="20"/>
          <w:szCs w:val="20"/>
          <w:color w:val="auto"/>
        </w:rPr>
      </w:pPr>
    </w:p>
    <w:p>
      <w:pPr>
        <w:ind w:left="20"/>
        <w:spacing w:after="0"/>
        <w:tabs>
          <w:tab w:leader="none" w:pos="7060" w:val="left"/>
        </w:tabs>
        <w:rPr>
          <w:sz w:val="20"/>
          <w:szCs w:val="20"/>
          <w:color w:val="auto"/>
        </w:rPr>
      </w:pPr>
      <w:r>
        <w:rPr>
          <w:rFonts w:ascii="Arial" w:cs="Arial" w:eastAsia="Arial" w:hAnsi="Arial"/>
          <w:sz w:val="16"/>
          <w:szCs w:val="16"/>
          <w:color w:val="auto"/>
        </w:rPr>
        <w:t>Date: February 24, 2026</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20955</wp:posOffset>
            </wp:positionV>
            <wp:extent cx="24771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Michael (Mike) Milotich</w:t>
      </w:r>
    </w:p>
    <w:p>
      <w:pPr>
        <w:spacing w:after="0" w:line="3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93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Patti Kangwankij, Chief Financial Officer of Marqeta, Inc., certify, pursuant to 18 U.S.C. Section 1350, as adopted pursuant to Section 906 of the Sarbanes-Oxley Act of 2002, that the Annual Report on Form 10-K of Marqeta, Inc. for the fiscal year ended December 31, 2025 fully complies with the requirements of Section 13(a) or 15(d) of the Securities Exchange Act of 1934 and that the information contained in such Annual Report on Form 10-K fairly presents, in all material respects, the financial condition and results of operations of Marqeta, Inc.</w:t>
      </w:r>
    </w:p>
    <w:p>
      <w:pPr>
        <w:spacing w:after="0" w:line="221" w:lineRule="exact"/>
        <w:rPr>
          <w:sz w:val="20"/>
          <w:szCs w:val="20"/>
          <w:color w:val="auto"/>
        </w:rPr>
      </w:pPr>
    </w:p>
    <w:p>
      <w:pPr>
        <w:ind w:left="20"/>
        <w:spacing w:after="0"/>
        <w:tabs>
          <w:tab w:leader="none" w:pos="8140" w:val="left"/>
        </w:tabs>
        <w:rPr>
          <w:sz w:val="20"/>
          <w:szCs w:val="20"/>
          <w:color w:val="auto"/>
        </w:rPr>
      </w:pPr>
      <w:r>
        <w:rPr>
          <w:rFonts w:ascii="Arial" w:cs="Arial" w:eastAsia="Arial" w:hAnsi="Arial"/>
          <w:sz w:val="16"/>
          <w:szCs w:val="16"/>
          <w:color w:val="auto"/>
        </w:rPr>
        <w:t>Date: February 24, 2026</w:t>
      </w:r>
      <w:r>
        <w:rPr>
          <w:sz w:val="20"/>
          <w:szCs w:val="20"/>
          <w:color w:val="auto"/>
        </w:rPr>
        <w:tab/>
      </w:r>
      <w:r>
        <w:rPr>
          <w:rFonts w:ascii="Arial" w:cs="Arial" w:eastAsia="Arial" w:hAnsi="Arial"/>
          <w:sz w:val="16"/>
          <w:szCs w:val="16"/>
          <w:color w:val="auto"/>
        </w:rPr>
        <w:t>By: /s/ Patti Kangwankij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20955</wp:posOffset>
            </wp:positionV>
            <wp:extent cx="18002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Patti Kangwankij</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decimal"/>
      <w:start w:val="2"/>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1."/>
      <w:numFmt w:val="decimal"/>
      <w:start w:val="3"/>
    </w:lvl>
  </w:abstractNum>
  <w:abstractNum w:abstractNumId="24">
    <w:nsid w:val="10233C99"/>
    <w:multiLevelType w:val="hybridMultilevel"/>
    <w:lvl w:ilvl="0">
      <w:lvlJc w:val="left"/>
      <w:lvlText w:val="%1."/>
      <w:numFmt w:val="decimal"/>
      <w:start w:val="4"/>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decimal"/>
      <w:start w:val="5"/>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1)"/>
      <w:numFmt w:val="decimal"/>
      <w:start w:val="1"/>
    </w:lvl>
  </w:abstractNum>
  <w:abstractNum w:abstractNumId="31">
    <w:nsid w:val="5FF87E05"/>
    <w:multiLevelType w:val="hybridMultilevel"/>
    <w:lvl w:ilvl="0">
      <w:lvlJc w:val="left"/>
      <w:lvlText w:val="%1."/>
      <w:numFmt w:val="decimal"/>
      <w:start w:val="6"/>
    </w:lvl>
  </w:abstractNum>
  <w:abstractNum w:abstractNumId="32">
    <w:nsid w:val="2F305DEF"/>
    <w:multiLevelType w:val="hybridMultilevel"/>
    <w:lvl w:ilvl="0">
      <w:lvlJc w:val="left"/>
      <w:lvlText w:val="%1."/>
      <w:numFmt w:val="decimal"/>
      <w:start w:val="7"/>
    </w:lvl>
  </w:abstractNum>
  <w:abstractNum w:abstractNumId="33">
    <w:nsid w:val="25A70BF7"/>
    <w:multiLevelType w:val="hybridMultilevel"/>
    <w:lvl w:ilvl="0">
      <w:lvlJc w:val="left"/>
      <w:lvlText w:val="%1."/>
      <w:numFmt w:val="decimal"/>
      <w:start w:val="8"/>
    </w:lvl>
  </w:abstractNum>
  <w:abstractNum w:abstractNumId="34">
    <w:nsid w:val="1DBABF00"/>
    <w:multiLevelType w:val="hybridMultilevel"/>
    <w:lvl w:ilvl="0">
      <w:lvlJc w:val="left"/>
      <w:lvlText w:val="%1."/>
      <w:numFmt w:val="decimal"/>
      <w:start w:val="9"/>
    </w:lvl>
  </w:abstractNum>
  <w:abstractNum w:abstractNumId="35">
    <w:nsid w:val="4AD084E9"/>
    <w:multiLevelType w:val="hybridMultilevel"/>
    <w:lvl w:ilvl="0">
      <w:lvlJc w:val="left"/>
      <w:lvlText w:val="%1."/>
      <w:numFmt w:val="decimal"/>
      <w:start w:val="10"/>
    </w:lvl>
  </w:abstractNum>
  <w:abstractNum w:abstractNumId="36">
    <w:nsid w:val="1F48EAA1"/>
    <w:multiLevelType w:val="hybridMultilevel"/>
    <w:lvl w:ilvl="0">
      <w:lvlJc w:val="left"/>
      <w:lvlText w:val="%1."/>
      <w:numFmt w:val="decimal"/>
      <w:start w:val="1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1."/>
      <w:numFmt w:val="decimal"/>
      <w:start w:val="12"/>
    </w:lvl>
  </w:abstractNum>
  <w:abstractNum w:abstractNumId="39">
    <w:nsid w:val="100F8FCA"/>
    <w:multiLevelType w:val="hybridMultilevel"/>
    <w:lvl w:ilvl="0">
      <w:lvlJc w:val="left"/>
      <w:lvlText w:val="%1."/>
      <w:numFmt w:val="decimal"/>
      <w:start w:val="13"/>
    </w:lvl>
  </w:abstractNum>
  <w:abstractNum w:abstractNumId="40">
    <w:nsid w:val="6590700B"/>
    <w:multiLevelType w:val="hybridMultilevel"/>
    <w:lvl w:ilvl="0">
      <w:lvlJc w:val="left"/>
      <w:lvlText w:val="%1."/>
      <w:numFmt w:val="decimal"/>
      <w:start w:val="14"/>
    </w:lvl>
  </w:abstractNum>
  <w:abstractNum w:abstractNumId="41">
    <w:nsid w:val="15014ACB"/>
    <w:multiLevelType w:val="hybridMultilevel"/>
    <w:lvl w:ilvl="0">
      <w:lvlJc w:val="left"/>
      <w:lvlText w:val="(%1)"/>
      <w:numFmt w:val="decimal"/>
      <w:start w:val="1"/>
    </w:lvl>
  </w:abstractNum>
  <w:abstractNum w:abstractNumId="42">
    <w:nsid w:val="5F5E7FD0"/>
    <w:multiLevelType w:val="hybridMultilevel"/>
    <w:lvl w:ilvl="0">
      <w:lvlJc w:val="left"/>
      <w:lvlText w:val="%1."/>
      <w:numFmt w:val="decimal"/>
      <w:start w:val="16"/>
    </w:lvl>
  </w:abstractNum>
  <w:abstractNum w:abstractNumId="43">
    <w:nsid w:val="98A3148"/>
    <w:multiLevelType w:val="hybridMultilevel"/>
    <w:lvl w:ilvl="0">
      <w:lvlJc w:val="left"/>
      <w:lvlText w:val="%1."/>
      <w:numFmt w:val="decimal"/>
      <w:start w:val="17"/>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lowerLetter"/>
      <w:start w:val="2"/>
    </w:lvl>
  </w:abstractNum>
  <w:abstractNum w:abstractNumId="46">
    <w:nsid w:val="42C296BD"/>
    <w:multiLevelType w:val="hybridMultilevel"/>
    <w:lvl w:ilvl="0">
      <w:lvlJc w:val="left"/>
      <w:lvlText w:val="(%1)"/>
      <w:numFmt w:val="lowerLetter"/>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decimal"/>
      <w:start w:val="1"/>
    </w:lvl>
    <w:lvl w:ilvl="1">
      <w:lvlJc w:val="left"/>
      <w:lvlText w:val="●"/>
      <w:numFmt w:val="bullet"/>
      <w:start w:val="1"/>
    </w:lvl>
  </w:abstractNum>
  <w:abstractNum w:abstractNumId="52">
    <w:nsid w:val="7BD3EE7B"/>
    <w:multiLevelType w:val="hybridMultilevel"/>
    <w:lvl w:ilvl="0">
      <w:lvlJc w:val="left"/>
      <w:lvlText w:val="%1."/>
      <w:numFmt w:val="decimal"/>
      <w:start w:val="3"/>
    </w:lvl>
  </w:abstractNum>
  <w:abstractNum w:abstractNumId="53">
    <w:nsid w:val="51D9C564"/>
    <w:multiLevelType w:val="hybridMultilevel"/>
    <w:lvl w:ilvl="0">
      <w:lvlJc w:val="left"/>
      <w:lvlText w:val="%1."/>
      <w:numFmt w:val="decimal"/>
      <w:start w:val="7"/>
    </w:lvl>
  </w:abstractNum>
  <w:abstractNum w:abstractNumId="54">
    <w:nsid w:val="613EFDC5"/>
    <w:multiLevelType w:val="hybridMultilevel"/>
    <w:lvl w:ilvl="0">
      <w:lvlJc w:val="left"/>
      <w:lvlText w:val="%1."/>
      <w:numFmt w:val="decimal"/>
      <w:start w:val="9"/>
    </w:lvl>
  </w:abstractNum>
  <w:abstractNum w:abstractNumId="55">
    <w:nsid w:val="BF72B14"/>
    <w:multiLevelType w:val="hybridMultilevel"/>
    <w:lvl w:ilvl="0">
      <w:lvlJc w:val="left"/>
      <w:lvlText w:val="%1."/>
      <w:numFmt w:val="decimal"/>
      <w:start w:val="13"/>
    </w:lvl>
  </w:abstractNum>
  <w:abstractNum w:abstractNumId="56">
    <w:nsid w:val="11447B73"/>
    <w:multiLevelType w:val="hybridMultilevel"/>
    <w:lvl w:ilvl="0">
      <w:lvlJc w:val="left"/>
      <w:lvlText w:val="%1."/>
      <w:numFmt w:val="decimal"/>
      <w:start w:val="1"/>
    </w:lvl>
    <w:lvl w:ilvl="1">
      <w:lvlJc w:val="left"/>
      <w:lvlText w:val="(%2)"/>
      <w:numFmt w:val="lowerRoman"/>
      <w:start w:val="1"/>
    </w:lvl>
  </w:abstractNum>
  <w:abstractNum w:abstractNumId="57">
    <w:nsid w:val="42963E5A"/>
    <w:multiLevelType w:val="hybridMultilevel"/>
    <w:lvl w:ilvl="0">
      <w:lvlJc w:val="left"/>
      <w:lvlText w:val="%1"/>
      <w:numFmt w:val="decimal"/>
      <w:start w:val="1"/>
    </w:lvl>
    <w:lvl w:ilvl="1">
      <w:lvlJc w:val="left"/>
      <w:lvlText w:val="(%2)"/>
      <w:numFmt w:val="lowerRoman"/>
      <w:start w:val="3"/>
    </w:lvl>
  </w:abstractNum>
  <w:abstractNum w:abstractNumId="58">
    <w:nsid w:val="A0382C5"/>
    <w:multiLevelType w:val="hybridMultilevel"/>
    <w:lvl w:ilvl="0">
      <w:lvlJc w:val="left"/>
      <w:lvlText w:val="%1."/>
      <w:numFmt w:val="decimal"/>
      <w:start w:val="2"/>
    </w:lvl>
    <w:lvl w:ilvl="1">
      <w:lvlJc w:val="left"/>
      <w:lvlText w:val="%2"/>
      <w:numFmt w:val="lowerRoman"/>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1."/>
      <w:numFmt w:val="decimal"/>
      <w:start w:val="2"/>
    </w:lvl>
    <w:lvl w:ilvl="1">
      <w:lvlJc w:val="left"/>
      <w:lvlText w:val="●"/>
      <w:numFmt w:val="bullet"/>
      <w:start w:val="1"/>
    </w:lvl>
  </w:abstractNum>
  <w:abstractNum w:abstractNumId="61">
    <w:nsid w:val="3B0FD379"/>
    <w:multiLevelType w:val="hybridMultilevel"/>
    <w:lvl w:ilvl="0">
      <w:lvlJc w:val="left"/>
      <w:lvlText w:val="%1."/>
      <w:numFmt w:val="decimal"/>
      <w:start w:val="1"/>
    </w:lvl>
  </w:abstractNum>
  <w:abstractNum w:abstractNumId="62">
    <w:nsid w:val="68EB2F63"/>
    <w:multiLevelType w:val="hybridMultilevel"/>
    <w:lvl w:ilvl="0">
      <w:lvlJc w:val="left"/>
      <w:lvlText w:val="%1."/>
      <w:numFmt w:val="decimal"/>
      <w:start w:val="3"/>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2"/>
    </w:lvl>
  </w:abstractNum>
  <w:abstractNum w:abstractNumId="65">
    <w:nsid w:val="6A5EE64"/>
    <w:multiLevelType w:val="hybridMultilevel"/>
    <w:lvl w:ilvl="0">
      <w:lvlJc w:val="left"/>
      <w:lvlText w:val="(%1)"/>
      <w:numFmt w:val="lowerLetter"/>
      <w:start w:val="3"/>
    </w:lvl>
  </w:abstractNum>
  <w:abstractNum w:abstractNumId="66">
    <w:nsid w:val="14330624"/>
    <w:multiLevelType w:val="hybridMultilevel"/>
    <w:lvl w:ilvl="0">
      <w:lvlJc w:val="left"/>
      <w:lvlText w:val="%1"/>
      <w:numFmt w:val="decimal"/>
      <w:start w:val="1"/>
    </w:lvl>
    <w:lvl w:ilvl="1">
      <w:lvlJc w:val="left"/>
      <w:lvlText w:val="(%2)"/>
      <w:numFmt w:val="lowerLetter"/>
      <w:start w:val="17"/>
    </w:lvl>
  </w:abstractNum>
  <w:abstractNum w:abstractNumId="67">
    <w:nsid w:val="7FFFCA11"/>
    <w:multiLevelType w:val="hybridMultilevel"/>
    <w:lvl w:ilvl="0">
      <w:lvlJc w:val="left"/>
      <w:lvlText w:val="%1."/>
      <w:numFmt w:val="decimal"/>
      <w:start w:val="6"/>
    </w:lvl>
    <w:lvl w:ilvl="1">
      <w:lvlJc w:val="left"/>
      <w:lvlText w:val="%2"/>
      <w:numFmt w:val="lowerLetter"/>
      <w:start w:val="1"/>
    </w:lvl>
  </w:abstractNum>
  <w:abstractNum w:abstractNumId="68">
    <w:nsid w:val="1A27709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61"/>
    </w:lvl>
  </w:abstractNum>
  <w:abstractNum w:abstractNumId="69">
    <w:nsid w:val="71EA1109"/>
    <w:multiLevelType w:val="hybridMultilevel"/>
    <w:lvl w:ilvl="0">
      <w:lvlJc w:val="left"/>
      <w:lvlText w:val="%1"/>
      <w:numFmt w:val="lowerLetter"/>
      <w:start w:val="1"/>
    </w:lvl>
    <w:lvl w:ilvl="1">
      <w:lvlJc w:val="left"/>
      <w:lvlText w:val="(%2)"/>
      <w:numFmt w:val="lowerRoman"/>
      <w:start w:val="4"/>
    </w:lvl>
  </w:abstractNum>
  <w:abstractNum w:abstractNumId="70">
    <w:nsid w:val="100F59DC"/>
    <w:multiLevelType w:val="hybridMultilevel"/>
    <w:lvl w:ilvl="0">
      <w:lvlJc w:val="left"/>
      <w:lvlText w:val="(%1)"/>
      <w:numFmt w:val="lowerLetter"/>
      <w:start w:val="4"/>
    </w:lvl>
    <w:lvl w:ilvl="1">
      <w:lvlJc w:val="left"/>
      <w:lvlText w:val="%2"/>
      <w:numFmt w:val="lowerRoman"/>
      <w:start w:val="1"/>
    </w:lvl>
  </w:abstractNum>
  <w:abstractNum w:abstractNumId="71">
    <w:nsid w:val="7FB7E0AA"/>
    <w:multiLevelType w:val="hybridMultilevel"/>
    <w:lvl w:ilvl="0">
      <w:lvlJc w:val="left"/>
      <w:lvlText w:val="(%1)"/>
      <w:numFmt w:val="lowerLetter"/>
      <w:start w:val="10"/>
    </w:lvl>
    <w:lvl w:ilvl="1">
      <w:lvlJc w:val="left"/>
      <w:lvlText w:val="(%2)"/>
      <w:numFmt w:val="upperLetter"/>
      <w:start w:val="19"/>
    </w:lvl>
    <w:lvl w:ilvl="2">
      <w:lvlJc w:val="left"/>
      <w:lvlText w:val="(%3)"/>
      <w:numFmt w:val="lowerLetter"/>
      <w:start w:val="9"/>
    </w:lvl>
  </w:abstractNum>
  <w:abstractNum w:abstractNumId="72">
    <w:nsid w:val="6EB5BD4"/>
    <w:multiLevelType w:val="hybridMultilevel"/>
    <w:lvl w:ilvl="0">
      <w:lvlJc w:val="left"/>
      <w:lvlText w:val="%1"/>
      <w:numFmt w:val="upperLetter"/>
      <w:start w:val="1"/>
    </w:lvl>
    <w:lvl w:ilvl="1">
      <w:lvlJc w:val="left"/>
      <w:lvlText w:val="(%2)"/>
      <w:numFmt w:val="lowerRoman"/>
      <w:start w:val="2"/>
    </w:lvl>
  </w:abstractNum>
  <w:abstractNum w:abstractNumId="73">
    <w:nsid w:val="6F6DD9AC"/>
    <w:multiLevelType w:val="hybridMultilevel"/>
    <w:lvl w:ilvl="0">
      <w:lvlJc w:val="left"/>
      <w:lvlText w:val="(%1)"/>
      <w:numFmt w:val="upperLetter"/>
      <w:start w:val="20"/>
    </w:lvl>
    <w:lvl w:ilvl="1">
      <w:lvlJc w:val="left"/>
      <w:lvlText w:val="%2"/>
      <w:numFmt w:val="lowerRoman"/>
      <w:start w:val="1"/>
    </w:lvl>
  </w:abstractNum>
  <w:abstractNum w:abstractNumId="74">
    <w:nsid w:val="94211F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5">
    <w:nsid w:val="885E1B"/>
    <w:multiLevelType w:val="hybridMultilevel"/>
    <w:lvl w:ilvl="0">
      <w:lvlJc w:val="left"/>
      <w:lvlText w:val="%1."/>
      <w:numFmt w:val="decimal"/>
      <w:start w:val="14"/>
    </w:lvl>
    <w:lvl w:ilvl="1">
      <w:lvlJc w:val="left"/>
      <w:lvlText w:val="(%2)"/>
      <w:numFmt w:val="upperLetter"/>
      <w:start w:val="5"/>
    </w:lvl>
  </w:abstractNum>
  <w:abstractNum w:abstractNumId="76">
    <w:nsid w:val="76272110"/>
    <w:multiLevelType w:val="hybridMultilevel"/>
    <w:lvl w:ilvl="0">
      <w:lvlJc w:val="left"/>
      <w:lvlText w:val="%1."/>
      <w:numFmt w:val="decimal"/>
      <w:start w:val="20"/>
    </w:lvl>
    <w:lvl w:ilvl="1">
      <w:lvlJc w:val="left"/>
      <w:lvlText w:val="(%2)"/>
      <w:numFmt w:val="lowerLetter"/>
      <w:start w:val="1"/>
    </w:lvl>
    <w:lvl w:ilvl="2">
      <w:lvlJc w:val="left"/>
      <w:lvlText w:val="(%3)"/>
      <w:numFmt w:val="upperLetter"/>
      <w:start w:val="6"/>
    </w:lvl>
  </w:abstractNum>
  <w:abstractNum w:abstractNumId="77">
    <w:nsid w:val="4C04A8AF"/>
    <w:multiLevelType w:val="hybridMultilevel"/>
    <w:lvl w:ilvl="0">
      <w:lvlJc w:val="left"/>
      <w:lvlText w:val="%1."/>
      <w:numFmt w:val="decimal"/>
      <w:start w:val="24"/>
    </w:lvl>
    <w:lvl w:ilvl="1">
      <w:lvlJc w:val="left"/>
      <w:lvlText w:val="(%2)"/>
      <w:numFmt w:val="lowerLetter"/>
      <w:start w:val="1"/>
    </w:lvl>
  </w:abstractNum>
  <w:abstractNum w:abstractNumId="78">
    <w:nsid w:val="1716703B"/>
    <w:multiLevelType w:val="hybridMultilevel"/>
    <w:lvl w:ilvl="0">
      <w:lvlJc w:val="left"/>
      <w:lvlText w:val="%1."/>
      <w:numFmt w:val="decimal"/>
      <w:start w:val="32"/>
    </w:lvl>
    <w:lvl w:ilvl="1">
      <w:lvlJc w:val="left"/>
      <w:lvlText w:val="(%2)"/>
      <w:numFmt w:val="lowerLetter"/>
      <w:start w:val="1"/>
    </w:lvl>
  </w:abstractNum>
  <w:abstractNum w:abstractNumId="79">
    <w:nsid w:val="14E17E3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80">
    <w:nsid w:val="3222E7CD"/>
    <w:multiLevelType w:val="hybridMultilevel"/>
    <w:lvl w:ilvl="0">
      <w:lvlJc w:val="left"/>
      <w:lvlText w:val="%1."/>
      <w:numFmt w:val="decimal"/>
      <w:start w:val="40"/>
    </w:lvl>
    <w:lvl w:ilvl="1">
      <w:lvlJc w:val="left"/>
      <w:lvlText w:val="(%2)"/>
      <w:numFmt w:val="lowerLetter"/>
      <w:start w:val="1"/>
    </w:lvl>
    <w:lvl w:ilvl="2">
      <w:lvlJc w:val="left"/>
      <w:lvlText w:val="-"/>
      <w:numFmt w:val="bullet"/>
      <w:start w:val="1"/>
    </w:lvl>
  </w:abstractNum>
  <w:abstractNum w:abstractNumId="81">
    <w:nsid w:val="74DE0EE3"/>
    <w:multiLevelType w:val="hybridMultilevel"/>
    <w:lvl w:ilvl="0">
      <w:lvlJc w:val="left"/>
      <w:lvlText w:val="%1."/>
      <w:numFmt w:val="decimal"/>
      <w:start w:val="42"/>
    </w:lvl>
  </w:abstractNum>
  <w:abstractNum w:abstractNumId="82">
    <w:nsid w:val="68EBC550"/>
    <w:multiLevelType w:val="hybridMultilevel"/>
    <w:lvl w:ilvl="0">
      <w:lvlJc w:val="left"/>
      <w:lvlText w:val="%1."/>
      <w:numFmt w:val="decimal"/>
      <w:start w:val="1"/>
    </w:lvl>
  </w:abstractNum>
  <w:abstractNum w:abstractNumId="83">
    <w:nsid w:val="2DF6D648"/>
    <w:multiLevelType w:val="hybridMultilevel"/>
    <w:lvl w:ilvl="0">
      <w:lvlJc w:val="left"/>
      <w:lvlText w:val="%1."/>
      <w:numFmt w:val="decimal"/>
      <w:start w:val="3"/>
    </w:lvl>
  </w:abstractNum>
  <w:abstractNum w:abstractNumId="84">
    <w:nsid w:val="46B7D447"/>
    <w:multiLevelType w:val="hybridMultilevel"/>
    <w:lvl w:ilvl="0">
      <w:lvlJc w:val="left"/>
      <w:lvlText w:val="(%1)"/>
      <w:numFmt w:val="lowerRoman"/>
      <w:start w:val="6"/>
    </w:lvl>
  </w:abstractNum>
  <w:abstractNum w:abstractNumId="85">
    <w:nsid w:val="4A2AC315"/>
    <w:multiLevelType w:val="hybridMultilevel"/>
    <w:lvl w:ilvl="0">
      <w:lvlJc w:val="left"/>
      <w:lvlText w:val="(%1)"/>
      <w:numFmt w:val="lowerRoman"/>
      <w:start w:val="7"/>
    </w:lvl>
  </w:abstractNum>
  <w:abstractNum w:abstractNumId="86">
    <w:nsid w:val="39EE015C"/>
    <w:multiLevelType w:val="hybridMultilevel"/>
    <w:lvl w:ilvl="0">
      <w:lvlJc w:val="left"/>
      <w:lvlText w:val="%1."/>
      <w:numFmt w:val="decimal"/>
      <w:start w:val="4"/>
    </w:lvl>
  </w:abstractNum>
  <w:abstractNum w:abstractNumId="87">
    <w:nsid w:val="57FC4FBB"/>
    <w:multiLevelType w:val="hybridMultilevel"/>
    <w:lvl w:ilvl="0">
      <w:lvlJc w:val="left"/>
      <w:lvlText w:val="(%1)"/>
      <w:numFmt w:val="upperLetter"/>
      <w:start w:val="17"/>
    </w:lvl>
    <w:lvl w:ilvl="1">
      <w:lvlJc w:val="left"/>
      <w:lvlText w:val="(%2)"/>
      <w:numFmt w:val="lowerRoman"/>
      <w:start w:val="1"/>
    </w:lvl>
  </w:abstractNum>
  <w:abstractNum w:abstractNumId="88">
    <w:nsid w:val="CC1016F"/>
    <w:multiLevelType w:val="hybridMultilevel"/>
    <w:lvl w:ilvl="0">
      <w:lvlJc w:val="left"/>
      <w:lvlText w:val="(%1)"/>
      <w:numFmt w:val="lowerRoman"/>
      <w:start w:val="2"/>
    </w:lvl>
  </w:abstractNum>
  <w:abstractNum w:abstractNumId="89">
    <w:nsid w:val="43F18422"/>
    <w:multiLevelType w:val="hybridMultilevel"/>
    <w:lvl w:ilvl="0">
      <w:lvlJc w:val="left"/>
      <w:lvlText w:val="(%1)"/>
      <w:numFmt w:val="lowerRoman"/>
      <w:start w:val="3"/>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1)"/>
      <w:numFmt w:val="upperLetter"/>
      <w:start w:val="18"/>
    </w:lvl>
  </w:abstractNum>
  <w:abstractNum w:abstractNumId="92">
    <w:nsid w:val="7F01579B"/>
    <w:multiLevelType w:val="hybridMultilevel"/>
    <w:lvl w:ilvl="0">
      <w:lvlJc w:val="left"/>
      <w:lvlText w:val="%1."/>
      <w:numFmt w:val="decimal"/>
      <w:start w:val="5"/>
    </w:lvl>
  </w:abstractNum>
  <w:abstractNum w:abstractNumId="93">
    <w:nsid w:val="49DA307D"/>
    <w:multiLevelType w:val="hybridMultilevel"/>
    <w:lvl w:ilvl="0">
      <w:lvlJc w:val="left"/>
      <w:lvlText w:val="%1."/>
      <w:numFmt w:val="decimal"/>
      <w:start w:val="6"/>
    </w:lvl>
  </w:abstractNum>
  <w:abstractNum w:abstractNumId="94">
    <w:nsid w:val="7055A5F5"/>
    <w:multiLevelType w:val="hybridMultilevel"/>
    <w:lvl w:ilvl="0">
      <w:lvlJc w:val="left"/>
      <w:lvlText w:val="(%1)"/>
      <w:numFmt w:val="decimal"/>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74" Type="http://schemas.openxmlformats.org/officeDocument/2006/relationships/image" Target="media/image147.png"/><Relationship Id="rId194"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jpeg"/><Relationship Id="rId199" Type="http://schemas.openxmlformats.org/officeDocument/2006/relationships/image" Target="media/image152.png"/><Relationship Id="rId200" Type="http://schemas.openxmlformats.org/officeDocument/2006/relationships/image" Target="media/image153.jpeg"/><Relationship Id="rId201" Type="http://schemas.openxmlformats.org/officeDocument/2006/relationships/image" Target="media/image154.jpeg"/><Relationship Id="rId202" Type="http://schemas.openxmlformats.org/officeDocument/2006/relationships/image" Target="media/image155.jpe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jpe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jpe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154" Type="http://schemas.openxmlformats.org/officeDocument/2006/relationships/hyperlink" Target="https://www.sec.gov/Archives/edgar/data/0001522540/000119312521169619/d64065dex32.htm" TargetMode="External"/><Relationship Id="rId155" Type="http://schemas.openxmlformats.org/officeDocument/2006/relationships/hyperlink" Target="https://www.sec.gov/Archives/edgar/data/0001522540/000119312521169619/d64065dex34.htm" TargetMode="External"/><Relationship Id="rId156" Type="http://schemas.openxmlformats.org/officeDocument/2006/relationships/hyperlink" Target="https://www.sec.gov/Archives/edgar/data/0001522540/000119312521162113/d64065dex41.htm" TargetMode="External"/><Relationship Id="rId157" Type="http://schemas.openxmlformats.org/officeDocument/2006/relationships/hyperlink" Target="https://www.sec.gov/Archives/edgar/data/0001522540/000119312521162113/d64065dex42.htm" TargetMode="External"/><Relationship Id="rId158" Type="http://schemas.openxmlformats.org/officeDocument/2006/relationships/hyperlink" Target="https://www.sec.gov/Archives/edgar/data/1522540/000152254022000013/exhibit48-202110xk.htm" TargetMode="External"/><Relationship Id="rId159" Type="http://schemas.openxmlformats.org/officeDocument/2006/relationships/hyperlink" Target="https://www.sec.gov/Archives/edgar/data/1522540/000152254023000015/exhibit101-202210xk.htm" TargetMode="External"/><Relationship Id="rId160" Type="http://schemas.openxmlformats.org/officeDocument/2006/relationships/hyperlink" Target="https://www.sec.gov/Archives/edgar/data/1522540/000119312521169619/d64065dex102.htm" TargetMode="External"/><Relationship Id="rId161" Type="http://schemas.openxmlformats.org/officeDocument/2006/relationships/hyperlink" Target="https://www.sec.gov/Archives/edgar/data/0001522540/000119312521177861/d64065dex103.htm" TargetMode="External"/><Relationship Id="rId162" Type="http://schemas.openxmlformats.org/officeDocument/2006/relationships/hyperlink" Target="https://www.sec.gov/Archives/edgar/data/0001522540/000119312521177861/d64065dex104.htm" TargetMode="External"/><Relationship Id="rId163" Type="http://schemas.openxmlformats.org/officeDocument/2006/relationships/hyperlink" Target="https://www.sec.gov/Archives/edgar/data/0001522540/000119312521169619/d64065dex105.htm" TargetMode="External"/><Relationship Id="rId164" Type="http://schemas.openxmlformats.org/officeDocument/2006/relationships/hyperlink" Target="https://www.sec.gov/Archives/edgar/data/0001522540/000119312521169619/d64065dex106.htm" TargetMode="External"/><Relationship Id="rId165" Type="http://schemas.openxmlformats.org/officeDocument/2006/relationships/hyperlink" Target="https://www.sec.gov/Archives/edgar/data/1522540/000152254024000012/mq-nonxemployeedirectorcom.htm" TargetMode="External"/><Relationship Id="rId166" Type="http://schemas.openxmlformats.org/officeDocument/2006/relationships/hyperlink" Target="https://www.sec.gov/Archives/edgar/data/0001522540/000119312521162113/d64065dex1012.htm" TargetMode="External"/><Relationship Id="rId167" Type="http://schemas.openxmlformats.org/officeDocument/2006/relationships/hyperlink" Target="https://www.sec.gov/Archives/edgar/data/1522540/000162828025023249/exhibit104-q12025.htm" TargetMode="External"/><Relationship Id="rId168" Type="http://schemas.openxmlformats.org/officeDocument/2006/relationships/hyperlink" Target="https://www.sec.gov/Archives/edgar/data/1522540/000152254023000015/exhibit109-202210xk.htm" TargetMode="External"/><Relationship Id="rId169" Type="http://schemas.openxmlformats.org/officeDocument/2006/relationships/hyperlink" Target="https://www.sec.gov/Archives/edgar/data/1522540/000162828025023249/exhibit103skhalafseparatio.htm" TargetMode="External"/><Relationship Id="rId170" Type="http://schemas.openxmlformats.org/officeDocument/2006/relationships/hyperlink" Target="https://www.sec.gov/Archives/edgar/data/1522540/000152254022000013/exhibit1016-202110xk.htm" TargetMode="External"/><Relationship Id="rId171" Type="http://schemas.openxmlformats.org/officeDocument/2006/relationships/hyperlink" Target="https://www.sec.gov/Archives/edgar/data/1522540/000152254025000035/q32025-exhibit102.htm" TargetMode="External"/><Relationship Id="rId172" Type="http://schemas.openxmlformats.org/officeDocument/2006/relationships/hyperlink" Target="https://www.sec.gov/Archives/edgar/data/1522540/000162828024021181/exhibit103q12024.htm" TargetMode="External"/><Relationship Id="rId173" Type="http://schemas.openxmlformats.org/officeDocument/2006/relationships/hyperlink" Target="https://www.sec.gov/Archives/edgar/data/1522540/000162828024021181/exhibit104q12024.htm" TargetMode="External"/><Relationship Id="rId175" Type="http://schemas.openxmlformats.org/officeDocument/2006/relationships/hyperlink" Target="https://www.sec.gov/Archives/edgar/data/1522540/000162828024007663/exhibit1013-202310xk.htm" TargetMode="External"/><Relationship Id="rId176" Type="http://schemas.openxmlformats.org/officeDocument/2006/relationships/hyperlink" Target="https://www.sec.gov/Archives/edgar/data/1522540/000152254025000022/exhibit101q22025-4thamendm.htm" TargetMode="External"/><Relationship Id="rId177" Type="http://schemas.openxmlformats.org/officeDocument/2006/relationships/hyperlink" Target="https://www.sec.gov/Archives/edgar/data/1522540/000152254023000024/exhibit104q12023.htm" TargetMode="External"/><Relationship Id="rId178" Type="http://schemas.openxmlformats.org/officeDocument/2006/relationships/hyperlink" Target="https://www.sec.gov/Archives/edgar/data/1522540/000152254025000035/q3ex101xblockamendment26ed.htm" TargetMode="External"/><Relationship Id="rId179" Type="http://schemas.openxmlformats.org/officeDocument/2006/relationships/hyperlink" Target="https://www.sec.gov/Archives/edgar/data/1522540/000162828025023249/exhibit101-q1202510xq.htm" TargetMode="External"/><Relationship Id="rId180" Type="http://schemas.openxmlformats.org/officeDocument/2006/relationships/hyperlink" Target="https://www.sec.gov/Archives/edgar/data/1522540/000162828025023249/exhibit102-q1202510xq.htm" TargetMode="External"/><Relationship Id="rId181" Type="http://schemas.openxmlformats.org/officeDocument/2006/relationships/hyperlink" Target="https://www.sec.gov/Archives/edgar/data/1522540/000162828025008232/exhibit1017-202410xk.htm" TargetMode="External"/><Relationship Id="rId182" Type="http://schemas.openxmlformats.org/officeDocument/2006/relationships/hyperlink" Target="https://www.sec.gov/Archives/edgar/data/1522540/000162828025008232/exhibit1018-202410xk.htm" TargetMode="External"/><Relationship Id="rId183" Type="http://schemas.openxmlformats.org/officeDocument/2006/relationships/hyperlink" Target="https://www.sec.gov/Archives/edgar/data/1522540/000162828025008232/exhibit1019-202410xk.htm" TargetMode="External"/><Relationship Id="rId184" Type="http://schemas.openxmlformats.org/officeDocument/2006/relationships/hyperlink" Target="https://www.sec.gov/Archives/edgar/data/1522540/000162828024035709/exhibit101-q2202410xq.htm" TargetMode="External"/><Relationship Id="rId185" Type="http://schemas.openxmlformats.org/officeDocument/2006/relationships/hyperlink" Target="https://www.sec.gov/Archives/edgar/data/1522540/000162828024007663/exhibit1015-202310xk.htm" TargetMode="External"/><Relationship Id="rId186" Type="http://schemas.openxmlformats.org/officeDocument/2006/relationships/hyperlink" Target="https://www.sec.gov/Archives/edgar/data/1522540/000162828023037578/exhibit101-q32023.htm" TargetMode="External"/><Relationship Id="rId187" Type="http://schemas.openxmlformats.org/officeDocument/2006/relationships/hyperlink" Target="https://www.sec.gov/Archives/edgar/data/1522540/000152254023000027/exhibit101-8xka81123.htm" TargetMode="External"/><Relationship Id="rId188" Type="http://schemas.openxmlformats.org/officeDocument/2006/relationships/hyperlink" Target="https://www.sec.gov/Archives/edgar/data/1522540/000162828023028284/exhibit101-q22023.htm" TargetMode="External"/><Relationship Id="rId189" Type="http://schemas.openxmlformats.org/officeDocument/2006/relationships/hyperlink" Target="https://www.sec.gov/Archives/edgar/data/1522540/000162828025008232/exhibit1025-202410xk.htm" TargetMode="External"/><Relationship Id="rId190" Type="http://schemas.openxmlformats.org/officeDocument/2006/relationships/hyperlink" Target="https://www.sec.gov/Archives/edgar/data/1522540/000162828024021181/exhibit101q12024.htm" TargetMode="External"/><Relationship Id="rId191" Type="http://schemas.openxmlformats.org/officeDocument/2006/relationships/hyperlink" Target="https://www.sec.gov/Archives/edgar/data/1522540/000162828024021181/exhibit102q12024.htm" TargetMode="External"/><Relationship Id="rId192" Type="http://schemas.openxmlformats.org/officeDocument/2006/relationships/hyperlink" Target="https://www.sec.gov/Archives/edgar/data/1522540/000162828024009637/exhibit161-eyletterforchan.htm" TargetMode="External"/><Relationship Id="rId193" Type="http://schemas.openxmlformats.org/officeDocument/2006/relationships/hyperlink" Target="https://www.sec.gov/Archives/edgar/data/1522540/000162828025008232/exhibit191-202410xk.htm" TargetMode="External"/><Relationship Id="rId195" Type="http://schemas.openxmlformats.org/officeDocument/2006/relationships/hyperlink" Target="https://www.sec.gov/Archives/edgar/data/1522540/000162828024007663/exhibit971-202310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2026-02-24T16:10:56Z</dcterms:created>
  <dcterms:modified xsi:type="dcterms:W3CDTF">2026-02-24T16:10:56Z</dcterms:modified>
</cp:coreProperties>
</file>